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lsx" ContentType="application/vnd.openxmlformats-officedocument.spreadsheetml.sheet"/>
  <Override PartName="/word/stylesWithEffects.xml" ContentType="application/vnd.ms-word.stylesWithEffects+xml"/>
  <Default Extension="xml" ContentType="application/xml"/>
  <Default Extension="png" ContentType="image/png"/>
  <Override PartName="/word/charts/chart1.xml" ContentType="application/vnd.openxmlformats-officedocument.drawingml.chart+xml"/>
  <Override PartName="/word/webSettings.xml" ContentType="application/vnd.openxmlformats-officedocument.wordprocessingml.webSetting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EBF" w:rsidRPr="00301E57" w:rsidRDefault="00720EBF" w:rsidP="00720EBF">
      <w:pPr>
        <w:widowControl w:val="0"/>
        <w:autoSpaceDE w:val="0"/>
        <w:autoSpaceDN w:val="0"/>
        <w:adjustRightInd w:val="0"/>
        <w:spacing w:line="360" w:lineRule="auto"/>
        <w:rPr>
          <w:rFonts w:ascii="Arial" w:hAnsi="Arial" w:cs="Tahoma"/>
          <w:b/>
          <w:szCs w:val="22"/>
        </w:rPr>
      </w:pPr>
      <w:r w:rsidRPr="00301E57">
        <w:rPr>
          <w:rFonts w:ascii="Arial" w:hAnsi="Arial" w:cs="Tahoma"/>
          <w:b/>
          <w:szCs w:val="22"/>
        </w:rPr>
        <w:t>Investigating representations of ratio among prospective mathematics and science teachers:  an international study</w:t>
      </w:r>
    </w:p>
    <w:p w:rsidR="00720EBF" w:rsidRPr="00C92EF0" w:rsidRDefault="00720EBF" w:rsidP="00720EBF">
      <w:pPr>
        <w:widowControl w:val="0"/>
        <w:autoSpaceDE w:val="0"/>
        <w:autoSpaceDN w:val="0"/>
        <w:adjustRightInd w:val="0"/>
        <w:spacing w:line="360" w:lineRule="auto"/>
        <w:rPr>
          <w:rFonts w:ascii="Arial" w:hAnsi="Arial" w:cs="Tahoma"/>
          <w:b/>
          <w:sz w:val="22"/>
          <w:szCs w:val="22"/>
        </w:rPr>
      </w:pPr>
    </w:p>
    <w:p w:rsidR="00720EBF" w:rsidRPr="00713ADB" w:rsidRDefault="00720EBF" w:rsidP="00720EBF">
      <w:pPr>
        <w:rPr>
          <w:rFonts w:ascii="Arial" w:hAnsi="Arial" w:cs="Arial"/>
          <w:sz w:val="22"/>
          <w:szCs w:val="22"/>
        </w:rPr>
      </w:pPr>
      <w:r>
        <w:rPr>
          <w:rFonts w:ascii="Arial" w:hAnsi="Arial" w:cs="Arial"/>
          <w:sz w:val="22"/>
          <w:szCs w:val="22"/>
        </w:rPr>
        <w:t>Sarah Berenson</w:t>
      </w:r>
      <w:r w:rsidRPr="00713ADB">
        <w:rPr>
          <w:rFonts w:ascii="Arial" w:hAnsi="Arial" w:cs="Arial"/>
          <w:sz w:val="22"/>
          <w:vertAlign w:val="superscript"/>
          <w:lang w:val="sv-SE"/>
        </w:rPr>
        <w:t>a</w:t>
      </w:r>
      <w:r w:rsidRPr="00713ADB">
        <w:rPr>
          <w:rFonts w:ascii="Arial" w:hAnsi="Arial" w:cs="Arial"/>
          <w:sz w:val="22"/>
          <w:szCs w:val="22"/>
        </w:rPr>
        <w:t>,</w:t>
      </w:r>
      <w:r w:rsidRPr="00713ADB">
        <w:rPr>
          <w:rStyle w:val="FootnoteReference"/>
          <w:rFonts w:ascii="Arial" w:hAnsi="Arial" w:cs="Arial"/>
          <w:sz w:val="22"/>
          <w:lang w:val="sv-SE"/>
        </w:rPr>
        <w:footnoteReference w:customMarkFollows="1" w:id="1"/>
        <w:t>*</w:t>
      </w:r>
      <w:r w:rsidRPr="00713ADB">
        <w:rPr>
          <w:rFonts w:ascii="Arial" w:hAnsi="Arial" w:cs="Arial"/>
          <w:sz w:val="22"/>
          <w:szCs w:val="22"/>
        </w:rPr>
        <w:t xml:space="preserve"> Elizabeth Oldham</w:t>
      </w:r>
      <w:r w:rsidRPr="00713ADB">
        <w:rPr>
          <w:rFonts w:ascii="Arial" w:hAnsi="Arial" w:cs="Arial"/>
          <w:sz w:val="22"/>
          <w:vertAlign w:val="superscript"/>
          <w:lang w:val="sv-SE"/>
        </w:rPr>
        <w:t>b</w:t>
      </w:r>
      <w:r>
        <w:rPr>
          <w:rFonts w:ascii="Arial" w:hAnsi="Arial" w:cs="Arial"/>
          <w:sz w:val="22"/>
          <w:lang w:val="sv-SE"/>
        </w:rPr>
        <w:t>,</w:t>
      </w:r>
      <w:r w:rsidRPr="00713ADB">
        <w:rPr>
          <w:rFonts w:ascii="Arial" w:hAnsi="Arial" w:cs="Arial"/>
          <w:sz w:val="22"/>
          <w:szCs w:val="22"/>
        </w:rPr>
        <w:t xml:space="preserve"> </w:t>
      </w:r>
      <w:r>
        <w:rPr>
          <w:rFonts w:ascii="Arial" w:hAnsi="Arial" w:cs="Arial"/>
          <w:sz w:val="22"/>
          <w:szCs w:val="22"/>
        </w:rPr>
        <w:t>Elsa Price</w:t>
      </w:r>
      <w:r w:rsidRPr="00713ADB">
        <w:rPr>
          <w:rFonts w:ascii="Arial" w:hAnsi="Arial" w:cs="Arial"/>
          <w:sz w:val="22"/>
          <w:vertAlign w:val="superscript"/>
          <w:lang w:val="sv-SE"/>
        </w:rPr>
        <w:t>c</w:t>
      </w:r>
      <w:r>
        <w:rPr>
          <w:rFonts w:ascii="Arial" w:hAnsi="Arial" w:cs="Arial"/>
          <w:sz w:val="22"/>
          <w:szCs w:val="22"/>
        </w:rPr>
        <w:t xml:space="preserve"> </w:t>
      </w:r>
      <w:r w:rsidRPr="00713ADB">
        <w:rPr>
          <w:rFonts w:ascii="Arial" w:hAnsi="Arial" w:cs="Arial"/>
          <w:sz w:val="22"/>
          <w:szCs w:val="22"/>
        </w:rPr>
        <w:t xml:space="preserve">and </w:t>
      </w:r>
      <w:r>
        <w:rPr>
          <w:rFonts w:ascii="Arial" w:hAnsi="Arial" w:cs="Arial"/>
          <w:sz w:val="22"/>
          <w:szCs w:val="22"/>
        </w:rPr>
        <w:t>Laurinda Leite</w:t>
      </w:r>
      <w:r>
        <w:rPr>
          <w:rFonts w:ascii="Arial" w:hAnsi="Arial" w:cs="Arial"/>
          <w:sz w:val="22"/>
          <w:vertAlign w:val="superscript"/>
          <w:lang w:val="sv-SE"/>
        </w:rPr>
        <w:t>d</w:t>
      </w:r>
    </w:p>
    <w:p w:rsidR="00720EBF" w:rsidRPr="004F301B" w:rsidRDefault="00720EBF" w:rsidP="00720EBF">
      <w:pPr>
        <w:rPr>
          <w:rFonts w:ascii="Arial" w:hAnsi="Arial" w:cs="Arial"/>
          <w:i/>
          <w:sz w:val="22"/>
        </w:rPr>
      </w:pPr>
      <w:r w:rsidRPr="00C92EF0">
        <w:rPr>
          <w:rFonts w:ascii="Arial" w:hAnsi="Arial" w:cs="Arial"/>
          <w:b/>
          <w:i/>
          <w:sz w:val="22"/>
          <w:vertAlign w:val="superscript"/>
          <w:lang w:val="sv-SE"/>
        </w:rPr>
        <w:t>a</w:t>
      </w:r>
      <w:r>
        <w:rPr>
          <w:rFonts w:ascii="Arial" w:hAnsi="Arial" w:cs="Arial"/>
          <w:i/>
          <w:sz w:val="22"/>
          <w:szCs w:val="22"/>
        </w:rPr>
        <w:t>University of North Carolina at Greensboro, USA</w:t>
      </w:r>
      <w:r w:rsidRPr="00713ADB">
        <w:rPr>
          <w:rFonts w:ascii="Arial" w:hAnsi="Arial" w:cs="Arial"/>
          <w:i/>
          <w:sz w:val="22"/>
          <w:szCs w:val="22"/>
        </w:rPr>
        <w:t xml:space="preserve">; </w:t>
      </w:r>
      <w:r w:rsidRPr="00713ADB">
        <w:rPr>
          <w:rFonts w:ascii="Arial" w:hAnsi="Arial" w:cs="Arial"/>
          <w:i/>
          <w:sz w:val="22"/>
          <w:vertAlign w:val="superscript"/>
          <w:lang w:val="sv-SE"/>
        </w:rPr>
        <w:t>b</w:t>
      </w:r>
      <w:r w:rsidRPr="00713ADB">
        <w:rPr>
          <w:rFonts w:ascii="Arial" w:hAnsi="Arial" w:cs="Arial"/>
          <w:i/>
          <w:sz w:val="22"/>
          <w:szCs w:val="22"/>
        </w:rPr>
        <w:t xml:space="preserve">Trinity College Dublin, Ireland; </w:t>
      </w:r>
      <w:r w:rsidRPr="00713ADB">
        <w:rPr>
          <w:rFonts w:ascii="Arial" w:hAnsi="Arial" w:cs="Arial"/>
          <w:i/>
          <w:sz w:val="22"/>
          <w:vertAlign w:val="superscript"/>
          <w:lang w:val="sv-SE"/>
        </w:rPr>
        <w:t>c</w:t>
      </w:r>
      <w:r w:rsidRPr="00C92EF0">
        <w:rPr>
          <w:rFonts w:ascii="Arial" w:hAnsi="Arial" w:cs="Arial"/>
          <w:i/>
          <w:sz w:val="22"/>
        </w:rPr>
        <w:t>Faulkner University, Montgomery</w:t>
      </w:r>
      <w:r>
        <w:rPr>
          <w:rFonts w:ascii="Arial" w:hAnsi="Arial" w:cs="Arial"/>
          <w:i/>
          <w:sz w:val="22"/>
        </w:rPr>
        <w:t>,</w:t>
      </w:r>
      <w:r w:rsidRPr="00C92EF0">
        <w:rPr>
          <w:rFonts w:ascii="Arial" w:hAnsi="Arial" w:cs="Arial"/>
          <w:i/>
          <w:sz w:val="22"/>
        </w:rPr>
        <w:t xml:space="preserve"> </w:t>
      </w:r>
      <w:r w:rsidRPr="004F301B">
        <w:rPr>
          <w:rFonts w:ascii="Arial" w:hAnsi="Arial" w:cs="Arial"/>
          <w:i/>
          <w:sz w:val="22"/>
        </w:rPr>
        <w:t xml:space="preserve">USA; </w:t>
      </w:r>
      <w:r>
        <w:rPr>
          <w:rFonts w:ascii="Arial" w:hAnsi="Arial" w:cs="Arial"/>
          <w:sz w:val="22"/>
          <w:vertAlign w:val="superscript"/>
          <w:lang w:val="sv-SE"/>
        </w:rPr>
        <w:t>d</w:t>
      </w:r>
      <w:r w:rsidRPr="004F301B">
        <w:rPr>
          <w:rFonts w:ascii="Arial" w:hAnsi="Arial" w:cs="Arial"/>
          <w:i/>
          <w:sz w:val="22"/>
        </w:rPr>
        <w:t>University of Minho, Braga, Portugal</w:t>
      </w:r>
    </w:p>
    <w:p w:rsidR="00720EBF" w:rsidRPr="004F301B" w:rsidRDefault="00720EBF" w:rsidP="00720EBF">
      <w:pPr>
        <w:spacing w:line="360" w:lineRule="auto"/>
        <w:rPr>
          <w:rFonts w:ascii="Times New Roman" w:hAnsi="Times New Roman"/>
          <w:b/>
          <w:i/>
          <w:sz w:val="22"/>
        </w:rPr>
      </w:pPr>
    </w:p>
    <w:p w:rsidR="00720EBF" w:rsidRDefault="00720EBF" w:rsidP="00720EBF">
      <w:pPr>
        <w:widowControl w:val="0"/>
        <w:autoSpaceDE w:val="0"/>
        <w:autoSpaceDN w:val="0"/>
        <w:adjustRightInd w:val="0"/>
        <w:jc w:val="center"/>
        <w:rPr>
          <w:rFonts w:ascii="Times New Roman" w:hAnsi="Times New Roman" w:cs="Tahoma"/>
          <w:szCs w:val="22"/>
        </w:rPr>
      </w:pPr>
    </w:p>
    <w:p w:rsidR="00720EBF" w:rsidRPr="0092287F" w:rsidRDefault="00720EBF" w:rsidP="00720EBF">
      <w:pPr>
        <w:widowControl w:val="0"/>
        <w:autoSpaceDE w:val="0"/>
        <w:autoSpaceDN w:val="0"/>
        <w:adjustRightInd w:val="0"/>
        <w:spacing w:line="360" w:lineRule="auto"/>
        <w:ind w:left="567" w:right="374"/>
        <w:jc w:val="both"/>
        <w:rPr>
          <w:rFonts w:ascii="Arial" w:hAnsi="Arial"/>
          <w:sz w:val="20"/>
        </w:rPr>
      </w:pPr>
      <w:r w:rsidRPr="0092287F">
        <w:rPr>
          <w:rFonts w:ascii="Arial" w:hAnsi="Arial" w:cs="Tahoma"/>
          <w:sz w:val="20"/>
          <w:szCs w:val="22"/>
        </w:rPr>
        <w:t xml:space="preserve">The importance of teachers’ content knowledge </w:t>
      </w:r>
      <w:r w:rsidRPr="0092287F">
        <w:rPr>
          <w:rFonts w:ascii="Arial" w:hAnsi="Arial" w:cs="Tahoma"/>
          <w:i/>
          <w:sz w:val="20"/>
          <w:szCs w:val="22"/>
        </w:rPr>
        <w:t>for</w:t>
      </w:r>
      <w:r w:rsidRPr="0092287F">
        <w:rPr>
          <w:rFonts w:ascii="Arial" w:hAnsi="Arial" w:cs="Tahoma"/>
          <w:sz w:val="20"/>
          <w:szCs w:val="22"/>
        </w:rPr>
        <w:t xml:space="preserve"> teaching is acknowledged as a factor of teacher quality in mathematics and science.  At the 2011 annual conference of ATEE in Riga, the Science and Mathematics Education RDC initiated a study of our prospective teachers’ content knowledge of </w:t>
      </w:r>
      <w:r w:rsidRPr="0092287F">
        <w:rPr>
          <w:rFonts w:ascii="Arial" w:hAnsi="Arial" w:cs="Tahoma"/>
          <w:i/>
          <w:sz w:val="20"/>
          <w:szCs w:val="22"/>
        </w:rPr>
        <w:t>ratio</w:t>
      </w:r>
      <w:r w:rsidRPr="0092287F">
        <w:rPr>
          <w:rFonts w:ascii="Arial" w:hAnsi="Arial" w:cs="Tahoma"/>
          <w:sz w:val="20"/>
          <w:szCs w:val="22"/>
        </w:rPr>
        <w:t xml:space="preserve"> for teaching mathematics and science</w:t>
      </w:r>
      <w:r>
        <w:rPr>
          <w:rFonts w:ascii="Arial" w:hAnsi="Arial" w:cs="Tahoma"/>
          <w:sz w:val="20"/>
          <w:szCs w:val="22"/>
        </w:rPr>
        <w:t xml:space="preserve"> using a grounded theory design</w:t>
      </w:r>
      <w:r w:rsidRPr="0092287F">
        <w:rPr>
          <w:rFonts w:ascii="Arial" w:hAnsi="Arial" w:cs="Tahoma"/>
          <w:sz w:val="20"/>
          <w:szCs w:val="22"/>
        </w:rPr>
        <w:t xml:space="preserve">. </w:t>
      </w:r>
      <w:r>
        <w:rPr>
          <w:rFonts w:ascii="Arial" w:hAnsi="Arial" w:cs="Tahoma"/>
          <w:sz w:val="20"/>
          <w:szCs w:val="22"/>
        </w:rPr>
        <w:t xml:space="preserve">An analysis of the meanings and representations </w:t>
      </w:r>
      <w:r w:rsidR="00E25BE4">
        <w:rPr>
          <w:rFonts w:ascii="Arial" w:hAnsi="Arial" w:cs="Tahoma"/>
          <w:sz w:val="20"/>
          <w:szCs w:val="22"/>
        </w:rPr>
        <w:t xml:space="preserve">offered by </w:t>
      </w:r>
      <w:r>
        <w:rPr>
          <w:rFonts w:ascii="Arial" w:hAnsi="Arial" w:cs="Tahoma"/>
          <w:sz w:val="20"/>
          <w:szCs w:val="22"/>
        </w:rPr>
        <w:t>the participants indicated emergent themes leading to the following conjectures. P</w:t>
      </w:r>
      <w:r w:rsidRPr="00720EBF">
        <w:rPr>
          <w:rFonts w:ascii="Arial" w:hAnsi="Arial" w:cs="Tahoma"/>
          <w:sz w:val="20"/>
          <w:szCs w:val="22"/>
        </w:rPr>
        <w:t xml:space="preserve">articipants who associated meanings </w:t>
      </w:r>
      <w:r w:rsidR="00E25BE4">
        <w:rPr>
          <w:rFonts w:ascii="Arial" w:hAnsi="Arial" w:cs="Tahoma"/>
          <w:sz w:val="20"/>
          <w:szCs w:val="22"/>
        </w:rPr>
        <w:t>that</w:t>
      </w:r>
      <w:r w:rsidR="00E25BE4" w:rsidRPr="00720EBF">
        <w:rPr>
          <w:rFonts w:ascii="Arial" w:hAnsi="Arial" w:cs="Tahoma"/>
          <w:sz w:val="20"/>
          <w:szCs w:val="22"/>
        </w:rPr>
        <w:t xml:space="preserve"> </w:t>
      </w:r>
      <w:r w:rsidRPr="00720EBF">
        <w:rPr>
          <w:rFonts w:ascii="Arial" w:hAnsi="Arial" w:cs="Tahoma"/>
          <w:sz w:val="20"/>
          <w:szCs w:val="22"/>
        </w:rPr>
        <w:t>reflect two variables while providing many, varied, and relevant representations possessed relational understanding of ratio (Skemp 197</w:t>
      </w:r>
      <w:r w:rsidR="00E25BE4">
        <w:rPr>
          <w:rFonts w:ascii="Arial" w:hAnsi="Arial" w:cs="Tahoma"/>
          <w:sz w:val="20"/>
          <w:szCs w:val="22"/>
        </w:rPr>
        <w:t>6</w:t>
      </w:r>
      <w:r w:rsidRPr="00720EBF">
        <w:rPr>
          <w:rFonts w:ascii="Arial" w:hAnsi="Arial" w:cs="Tahoma"/>
          <w:sz w:val="20"/>
          <w:szCs w:val="22"/>
        </w:rPr>
        <w:t xml:space="preserve">). </w:t>
      </w:r>
      <w:r>
        <w:rPr>
          <w:rFonts w:ascii="Arial" w:hAnsi="Arial" w:cs="Tahoma"/>
          <w:sz w:val="20"/>
          <w:szCs w:val="22"/>
        </w:rPr>
        <w:t>T</w:t>
      </w:r>
      <w:r w:rsidRPr="00720EBF">
        <w:rPr>
          <w:rFonts w:ascii="Arial" w:hAnsi="Arial" w:cs="Tahoma"/>
          <w:sz w:val="20"/>
          <w:szCs w:val="22"/>
        </w:rPr>
        <w:t xml:space="preserve">he RDC proposes how </w:t>
      </w:r>
      <w:r>
        <w:rPr>
          <w:rFonts w:ascii="Arial" w:hAnsi="Arial" w:cs="Tahoma"/>
          <w:sz w:val="20"/>
          <w:szCs w:val="22"/>
        </w:rPr>
        <w:t>further study with other participants will begin</w:t>
      </w:r>
      <w:r w:rsidRPr="00720EBF">
        <w:rPr>
          <w:rFonts w:ascii="Arial" w:hAnsi="Arial" w:cs="Tahoma"/>
          <w:sz w:val="20"/>
          <w:szCs w:val="22"/>
        </w:rPr>
        <w:t xml:space="preserve"> t</w:t>
      </w:r>
      <w:r>
        <w:rPr>
          <w:rFonts w:ascii="Arial" w:hAnsi="Arial" w:cs="Tahoma"/>
          <w:sz w:val="20"/>
          <w:szCs w:val="22"/>
        </w:rPr>
        <w:t>he process of establishing the</w:t>
      </w:r>
      <w:r w:rsidRPr="00720EBF">
        <w:rPr>
          <w:rFonts w:ascii="Arial" w:hAnsi="Arial" w:cs="Tahoma"/>
          <w:sz w:val="20"/>
          <w:szCs w:val="22"/>
        </w:rPr>
        <w:t xml:space="preserve"> validity</w:t>
      </w:r>
      <w:r>
        <w:rPr>
          <w:rFonts w:ascii="Arial" w:hAnsi="Arial" w:cs="Tahoma"/>
          <w:sz w:val="20"/>
          <w:szCs w:val="22"/>
        </w:rPr>
        <w:t xml:space="preserve"> of these conjectures</w:t>
      </w:r>
      <w:r w:rsidRPr="00720EBF">
        <w:rPr>
          <w:rFonts w:ascii="Arial" w:hAnsi="Arial" w:cs="Tahoma"/>
          <w:sz w:val="20"/>
          <w:szCs w:val="22"/>
        </w:rPr>
        <w:t>.</w:t>
      </w:r>
    </w:p>
    <w:p w:rsidR="00EC7F63" w:rsidRPr="00B86E1B" w:rsidRDefault="00EC7F63" w:rsidP="000439F9">
      <w:pPr>
        <w:widowControl w:val="0"/>
        <w:autoSpaceDE w:val="0"/>
        <w:autoSpaceDN w:val="0"/>
        <w:adjustRightInd w:val="0"/>
        <w:spacing w:line="360" w:lineRule="auto"/>
        <w:jc w:val="center"/>
        <w:rPr>
          <w:rFonts w:ascii="Times New Roman" w:hAnsi="Times New Roman" w:cs="Tahoma"/>
          <w:szCs w:val="22"/>
        </w:rPr>
      </w:pPr>
    </w:p>
    <w:p w:rsidR="00EC7F63" w:rsidRPr="00283822" w:rsidRDefault="00B2085C" w:rsidP="00E166C5">
      <w:pPr>
        <w:widowControl w:val="0"/>
        <w:autoSpaceDE w:val="0"/>
        <w:autoSpaceDN w:val="0"/>
        <w:adjustRightInd w:val="0"/>
        <w:spacing w:line="360" w:lineRule="auto"/>
        <w:rPr>
          <w:rFonts w:ascii="Arial" w:hAnsi="Arial" w:cs="Tahoma"/>
          <w:b/>
          <w:sz w:val="22"/>
          <w:szCs w:val="22"/>
          <w:lang w:val="en-GB"/>
        </w:rPr>
      </w:pPr>
      <w:r w:rsidRPr="00B2085C">
        <w:rPr>
          <w:rFonts w:ascii="Arial" w:hAnsi="Arial" w:cs="Tahoma"/>
          <w:b/>
          <w:sz w:val="22"/>
          <w:szCs w:val="22"/>
        </w:rPr>
        <w:t>Introduction</w:t>
      </w:r>
    </w:p>
    <w:p w:rsidR="004F26EA" w:rsidRPr="00720EBF" w:rsidRDefault="000439F9" w:rsidP="00720EBF">
      <w:pPr>
        <w:pStyle w:val="Heading1"/>
        <w:spacing w:before="2" w:after="2" w:line="360" w:lineRule="auto"/>
        <w:jc w:val="both"/>
        <w:rPr>
          <w:rFonts w:ascii="Arial" w:hAnsi="Arial" w:cs="Tahoma"/>
          <w:b w:val="0"/>
          <w:sz w:val="22"/>
          <w:szCs w:val="22"/>
        </w:rPr>
      </w:pPr>
      <w:r w:rsidRPr="00720EBF">
        <w:rPr>
          <w:rFonts w:ascii="Arial" w:hAnsi="Arial" w:cs="Tahoma"/>
          <w:b w:val="0"/>
          <w:sz w:val="22"/>
          <w:szCs w:val="22"/>
        </w:rPr>
        <w:t>A major goal of the ATEE Research and Development Centre</w:t>
      </w:r>
      <w:r w:rsidR="00E166C5" w:rsidRPr="00720EBF">
        <w:rPr>
          <w:rFonts w:ascii="Arial" w:hAnsi="Arial" w:cs="Tahoma"/>
          <w:b w:val="0"/>
          <w:sz w:val="22"/>
          <w:szCs w:val="22"/>
        </w:rPr>
        <w:t xml:space="preserve"> (RDC)</w:t>
      </w:r>
      <w:r w:rsidRPr="00720EBF">
        <w:rPr>
          <w:rFonts w:ascii="Arial" w:hAnsi="Arial" w:cs="Tahoma"/>
          <w:b w:val="0"/>
          <w:sz w:val="22"/>
          <w:szCs w:val="22"/>
        </w:rPr>
        <w:t xml:space="preserve"> </w:t>
      </w:r>
      <w:r w:rsidR="00D64DFA" w:rsidRPr="00720EBF">
        <w:rPr>
          <w:rFonts w:ascii="Arial" w:hAnsi="Arial" w:cs="Tahoma"/>
          <w:b w:val="0"/>
          <w:sz w:val="22"/>
          <w:szCs w:val="22"/>
        </w:rPr>
        <w:t>‘</w:t>
      </w:r>
      <w:r w:rsidR="00E166C5" w:rsidRPr="00720EBF">
        <w:rPr>
          <w:rFonts w:ascii="Arial" w:hAnsi="Arial" w:cs="Tahoma"/>
          <w:b w:val="0"/>
          <w:sz w:val="22"/>
          <w:szCs w:val="22"/>
        </w:rPr>
        <w:t>Science and Mathematics Education</w:t>
      </w:r>
      <w:r w:rsidR="00D64DFA" w:rsidRPr="00720EBF">
        <w:rPr>
          <w:rFonts w:ascii="Arial" w:hAnsi="Arial" w:cs="Tahoma"/>
          <w:b w:val="0"/>
          <w:sz w:val="22"/>
          <w:szCs w:val="22"/>
        </w:rPr>
        <w:t>’</w:t>
      </w:r>
      <w:r w:rsidR="00E166C5" w:rsidRPr="00720EBF">
        <w:rPr>
          <w:rFonts w:ascii="Arial" w:hAnsi="Arial" w:cs="Tahoma"/>
          <w:b w:val="0"/>
          <w:sz w:val="22"/>
          <w:szCs w:val="22"/>
        </w:rPr>
        <w:t xml:space="preserve"> </w:t>
      </w:r>
      <w:r w:rsidR="00EC7F63" w:rsidRPr="00720EBF">
        <w:rPr>
          <w:rFonts w:ascii="Arial" w:hAnsi="Arial" w:cs="Tahoma"/>
          <w:b w:val="0"/>
          <w:sz w:val="22"/>
          <w:szCs w:val="22"/>
        </w:rPr>
        <w:t>is to conduct international research studies that address significant problems related to the preparation of prospective teachers and the professional development of classroom teachers. At times the studies include both primary and secondary mathematics and science teachers</w:t>
      </w:r>
      <w:r w:rsidR="00E166C5" w:rsidRPr="00720EBF">
        <w:rPr>
          <w:rFonts w:ascii="Arial" w:hAnsi="Arial" w:cs="Tahoma"/>
          <w:b w:val="0"/>
          <w:sz w:val="22"/>
          <w:szCs w:val="22"/>
        </w:rPr>
        <w:t>,</w:t>
      </w:r>
      <w:r w:rsidR="00EC7F63" w:rsidRPr="00720EBF">
        <w:rPr>
          <w:rFonts w:ascii="Arial" w:hAnsi="Arial" w:cs="Tahoma"/>
          <w:b w:val="0"/>
          <w:sz w:val="22"/>
          <w:szCs w:val="22"/>
        </w:rPr>
        <w:t xml:space="preserve"> and</w:t>
      </w:r>
      <w:r w:rsidR="00E166C5" w:rsidRPr="00720EBF">
        <w:rPr>
          <w:rFonts w:ascii="Arial" w:hAnsi="Arial" w:cs="Tahoma"/>
          <w:b w:val="0"/>
          <w:sz w:val="22"/>
          <w:szCs w:val="22"/>
        </w:rPr>
        <w:t xml:space="preserve"> at</w:t>
      </w:r>
      <w:r w:rsidR="00EC7F63" w:rsidRPr="00720EBF">
        <w:rPr>
          <w:rFonts w:ascii="Arial" w:hAnsi="Arial" w:cs="Tahoma"/>
          <w:b w:val="0"/>
          <w:sz w:val="22"/>
          <w:szCs w:val="22"/>
        </w:rPr>
        <w:t xml:space="preserve"> other times the </w:t>
      </w:r>
      <w:r w:rsidR="00E166C5" w:rsidRPr="00720EBF">
        <w:rPr>
          <w:rFonts w:ascii="Arial" w:hAnsi="Arial" w:cs="Tahoma"/>
          <w:b w:val="0"/>
          <w:sz w:val="22"/>
          <w:szCs w:val="22"/>
        </w:rPr>
        <w:t>RDC</w:t>
      </w:r>
      <w:r w:rsidR="00EC7F63" w:rsidRPr="00720EBF">
        <w:rPr>
          <w:rFonts w:ascii="Arial" w:hAnsi="Arial" w:cs="Tahoma"/>
          <w:b w:val="0"/>
          <w:sz w:val="22"/>
          <w:szCs w:val="22"/>
        </w:rPr>
        <w:t xml:space="preserve"> member</w:t>
      </w:r>
      <w:r w:rsidR="00E25BE4">
        <w:rPr>
          <w:rFonts w:ascii="Arial" w:hAnsi="Arial" w:cs="Tahoma"/>
          <w:b w:val="0"/>
          <w:sz w:val="22"/>
          <w:szCs w:val="22"/>
        </w:rPr>
        <w:t>s</w:t>
      </w:r>
      <w:r w:rsidR="00EC7F63" w:rsidRPr="00720EBF">
        <w:rPr>
          <w:rFonts w:ascii="Arial" w:hAnsi="Arial" w:cs="Tahoma"/>
          <w:b w:val="0"/>
          <w:sz w:val="22"/>
          <w:szCs w:val="22"/>
        </w:rPr>
        <w:t xml:space="preserve"> work on problems in their own disciplines.  Previously we studied the content </w:t>
      </w:r>
      <w:r w:rsidR="00E166C5" w:rsidRPr="00720EBF">
        <w:rPr>
          <w:rFonts w:ascii="Arial" w:hAnsi="Arial" w:cs="Tahoma"/>
          <w:b w:val="0"/>
          <w:sz w:val="22"/>
          <w:szCs w:val="22"/>
        </w:rPr>
        <w:t xml:space="preserve">knowledge </w:t>
      </w:r>
      <w:r w:rsidR="00EC7F63" w:rsidRPr="00720EBF">
        <w:rPr>
          <w:rFonts w:ascii="Arial" w:hAnsi="Arial" w:cs="Tahoma"/>
          <w:b w:val="0"/>
          <w:sz w:val="22"/>
          <w:szCs w:val="22"/>
        </w:rPr>
        <w:t xml:space="preserve">and </w:t>
      </w:r>
      <w:r w:rsidR="00E166C5" w:rsidRPr="00720EBF">
        <w:rPr>
          <w:rFonts w:ascii="Arial" w:hAnsi="Arial" w:cs="Tahoma"/>
          <w:b w:val="0"/>
          <w:sz w:val="22"/>
          <w:szCs w:val="22"/>
        </w:rPr>
        <w:t>pedagogical content knowledge held by</w:t>
      </w:r>
      <w:r w:rsidR="00EC7F63" w:rsidRPr="00720EBF">
        <w:rPr>
          <w:rFonts w:ascii="Arial" w:hAnsi="Arial" w:cs="Tahoma"/>
          <w:b w:val="0"/>
          <w:sz w:val="22"/>
          <w:szCs w:val="22"/>
        </w:rPr>
        <w:t xml:space="preserve"> prospective teachers in five different countries concerning concepts relevant to both mat</w:t>
      </w:r>
      <w:r w:rsidR="003A494B" w:rsidRPr="00720EBF">
        <w:rPr>
          <w:rFonts w:ascii="Arial" w:hAnsi="Arial" w:cs="Tahoma"/>
          <w:b w:val="0"/>
          <w:sz w:val="22"/>
          <w:szCs w:val="22"/>
        </w:rPr>
        <w:t>hematics and science teaching (for example</w:t>
      </w:r>
      <w:r w:rsidR="00EC7F63" w:rsidRPr="00720EBF">
        <w:rPr>
          <w:rFonts w:ascii="Arial" w:hAnsi="Arial" w:cs="Tahoma"/>
          <w:b w:val="0"/>
          <w:sz w:val="22"/>
          <w:szCs w:val="22"/>
        </w:rPr>
        <w:t xml:space="preserve"> </w:t>
      </w:r>
      <w:r w:rsidR="00662A56">
        <w:rPr>
          <w:rFonts w:ascii="Arial" w:hAnsi="Arial"/>
          <w:b w:val="0"/>
          <w:color w:val="000000"/>
          <w:sz w:val="22"/>
          <w:lang w:val="es-ES"/>
        </w:rPr>
        <w:t>Berenson et al.</w:t>
      </w:r>
      <w:r w:rsidR="00DD414F">
        <w:rPr>
          <w:rFonts w:ascii="Arial" w:hAnsi="Arial"/>
          <w:b w:val="0"/>
          <w:color w:val="000000"/>
          <w:sz w:val="22"/>
          <w:lang w:val="es-ES"/>
        </w:rPr>
        <w:t xml:space="preserve"> </w:t>
      </w:r>
      <w:r w:rsidR="00EC7F63" w:rsidRPr="00720EBF">
        <w:rPr>
          <w:rFonts w:ascii="Arial" w:hAnsi="Arial"/>
          <w:b w:val="0"/>
          <w:sz w:val="22"/>
          <w:lang w:val="es-ES"/>
        </w:rPr>
        <w:t xml:space="preserve">1997; </w:t>
      </w:r>
      <w:r w:rsidR="004E14E4" w:rsidRPr="00720EBF">
        <w:rPr>
          <w:rFonts w:ascii="Arial" w:hAnsi="Arial"/>
          <w:b w:val="0"/>
          <w:sz w:val="22"/>
          <w:szCs w:val="24"/>
          <w:lang w:val="es-ES"/>
        </w:rPr>
        <w:t>Frederik</w:t>
      </w:r>
      <w:r w:rsidR="00662A56">
        <w:rPr>
          <w:rFonts w:ascii="Arial" w:hAnsi="Arial"/>
          <w:b w:val="0"/>
          <w:sz w:val="22"/>
          <w:szCs w:val="24"/>
          <w:lang w:val="es-ES"/>
        </w:rPr>
        <w:t xml:space="preserve"> et al.</w:t>
      </w:r>
      <w:r w:rsidR="00DD414F">
        <w:rPr>
          <w:rFonts w:ascii="Arial" w:hAnsi="Arial"/>
          <w:b w:val="0"/>
          <w:sz w:val="22"/>
          <w:szCs w:val="24"/>
          <w:lang w:val="es-ES"/>
        </w:rPr>
        <w:t xml:space="preserve"> </w:t>
      </w:r>
      <w:r w:rsidR="004E14E4" w:rsidRPr="00720EBF">
        <w:rPr>
          <w:rFonts w:ascii="Arial" w:hAnsi="Arial"/>
          <w:b w:val="0"/>
          <w:sz w:val="22"/>
          <w:szCs w:val="24"/>
          <w:lang w:val="es-ES"/>
        </w:rPr>
        <w:t>1999;</w:t>
      </w:r>
      <w:r w:rsidR="004E14E4" w:rsidRPr="00720EBF">
        <w:rPr>
          <w:rFonts w:ascii="Arial" w:hAnsi="Arial"/>
          <w:b w:val="0"/>
          <w:sz w:val="22"/>
          <w:lang w:val="es-ES"/>
        </w:rPr>
        <w:t xml:space="preserve"> </w:t>
      </w:r>
      <w:r w:rsidR="00662A56">
        <w:rPr>
          <w:rFonts w:ascii="Arial" w:hAnsi="Arial"/>
          <w:b w:val="0"/>
          <w:sz w:val="22"/>
          <w:lang w:val="es-ES"/>
        </w:rPr>
        <w:t>Oldham et al.</w:t>
      </w:r>
      <w:r w:rsidR="00DD414F">
        <w:rPr>
          <w:rFonts w:ascii="Arial" w:hAnsi="Arial"/>
          <w:b w:val="0"/>
          <w:sz w:val="22"/>
          <w:lang w:val="es-ES"/>
        </w:rPr>
        <w:t xml:space="preserve"> </w:t>
      </w:r>
      <w:r w:rsidR="00EC7F63" w:rsidRPr="00720EBF">
        <w:rPr>
          <w:rFonts w:ascii="Arial" w:hAnsi="Arial"/>
          <w:b w:val="0"/>
          <w:sz w:val="22"/>
          <w:lang w:val="es-ES"/>
        </w:rPr>
        <w:t xml:space="preserve">2000; </w:t>
      </w:r>
      <w:r w:rsidR="004C42B9" w:rsidRPr="00720EBF">
        <w:rPr>
          <w:rFonts w:ascii="Arial" w:hAnsi="Arial" w:cs="Tahoma"/>
          <w:b w:val="0"/>
          <w:sz w:val="22"/>
          <w:szCs w:val="22"/>
          <w:lang w:val="es-ES"/>
        </w:rPr>
        <w:t>Van Driel, De Jong, &amp; Verloop</w:t>
      </w:r>
      <w:r w:rsidR="00EC7F63" w:rsidRPr="00720EBF">
        <w:rPr>
          <w:rFonts w:ascii="Arial" w:hAnsi="Arial" w:cs="Tahoma"/>
          <w:b w:val="0"/>
          <w:sz w:val="22"/>
          <w:szCs w:val="22"/>
          <w:lang w:val="es-ES"/>
        </w:rPr>
        <w:t xml:space="preserve"> 2002). </w:t>
      </w:r>
      <w:r w:rsidR="00EC7F63" w:rsidRPr="00720EBF">
        <w:rPr>
          <w:rFonts w:ascii="Arial" w:hAnsi="Arial" w:cs="Tahoma"/>
          <w:b w:val="0"/>
          <w:sz w:val="22"/>
          <w:szCs w:val="22"/>
        </w:rPr>
        <w:t xml:space="preserve">While the annual ATEE meetings provide face-to-face meetings for the research group, e-mail is a major communication tool during the year. Considerable time is spent during the annual meeting in our </w:t>
      </w:r>
      <w:r w:rsidR="00E166C5" w:rsidRPr="00720EBF">
        <w:rPr>
          <w:rFonts w:ascii="Arial" w:hAnsi="Arial" w:cs="Tahoma"/>
          <w:b w:val="0"/>
          <w:sz w:val="22"/>
          <w:szCs w:val="22"/>
        </w:rPr>
        <w:t>RDC</w:t>
      </w:r>
      <w:r w:rsidR="00EC7F63" w:rsidRPr="00720EBF">
        <w:rPr>
          <w:rFonts w:ascii="Arial" w:hAnsi="Arial" w:cs="Tahoma"/>
          <w:b w:val="0"/>
          <w:sz w:val="22"/>
          <w:szCs w:val="22"/>
        </w:rPr>
        <w:t xml:space="preserve"> deciding on a significant problem relevant in our varied contexts of teacher education. It is necessary that the parameters of the problem allow for data collection in a variety of settings. Rather than </w:t>
      </w:r>
      <w:r w:rsidR="00FF0820" w:rsidRPr="00720EBF">
        <w:rPr>
          <w:rFonts w:ascii="Arial" w:hAnsi="Arial" w:cs="Tahoma"/>
          <w:b w:val="0"/>
          <w:sz w:val="22"/>
          <w:szCs w:val="22"/>
        </w:rPr>
        <w:t xml:space="preserve">conducting </w:t>
      </w:r>
      <w:r w:rsidR="00EC7F63" w:rsidRPr="00720EBF">
        <w:rPr>
          <w:rFonts w:ascii="Arial" w:hAnsi="Arial" w:cs="Tahoma"/>
          <w:b w:val="0"/>
          <w:sz w:val="22"/>
          <w:szCs w:val="22"/>
        </w:rPr>
        <w:t>comparative studies in different settings</w:t>
      </w:r>
      <w:r w:rsidR="00FF0820" w:rsidRPr="00720EBF">
        <w:rPr>
          <w:rFonts w:ascii="Arial" w:hAnsi="Arial" w:cs="Tahoma"/>
          <w:b w:val="0"/>
          <w:sz w:val="22"/>
          <w:szCs w:val="22"/>
        </w:rPr>
        <w:t>,</w:t>
      </w:r>
      <w:r w:rsidR="00EC7F63" w:rsidRPr="00720EBF">
        <w:rPr>
          <w:rFonts w:ascii="Arial" w:hAnsi="Arial" w:cs="Tahoma"/>
          <w:b w:val="0"/>
          <w:sz w:val="22"/>
          <w:szCs w:val="22"/>
        </w:rPr>
        <w:t xml:space="preserve"> we examine our data for similarities across countries and universities. This leads to greater understanding and a base of knowledge of mathematics and science teacher education within the international education community about mathematics </w:t>
      </w:r>
      <w:r w:rsidR="00D75851" w:rsidRPr="00720EBF">
        <w:rPr>
          <w:rFonts w:ascii="Arial" w:hAnsi="Arial" w:cs="Tahoma"/>
          <w:b w:val="0"/>
          <w:sz w:val="22"/>
          <w:szCs w:val="22"/>
        </w:rPr>
        <w:t xml:space="preserve">and science </w:t>
      </w:r>
      <w:r w:rsidR="00EC7F63" w:rsidRPr="00720EBF">
        <w:rPr>
          <w:rFonts w:ascii="Arial" w:hAnsi="Arial" w:cs="Tahoma"/>
          <w:b w:val="0"/>
          <w:sz w:val="22"/>
          <w:szCs w:val="22"/>
        </w:rPr>
        <w:t xml:space="preserve">for teaching. </w:t>
      </w:r>
      <w:r w:rsidR="00FF0820" w:rsidRPr="00720EBF">
        <w:rPr>
          <w:rFonts w:ascii="Arial" w:hAnsi="Arial" w:cs="Tahoma"/>
          <w:b w:val="0"/>
          <w:sz w:val="22"/>
          <w:szCs w:val="22"/>
        </w:rPr>
        <w:t xml:space="preserve"> </w:t>
      </w:r>
    </w:p>
    <w:p w:rsidR="004F26EA" w:rsidRPr="00720EBF" w:rsidRDefault="004F26EA" w:rsidP="000439F9">
      <w:pPr>
        <w:pStyle w:val="Heading1"/>
        <w:spacing w:before="2" w:after="2" w:line="360" w:lineRule="auto"/>
        <w:rPr>
          <w:rFonts w:ascii="Arial" w:hAnsi="Arial" w:cs="Tahoma"/>
          <w:b w:val="0"/>
          <w:sz w:val="22"/>
          <w:szCs w:val="22"/>
        </w:rPr>
      </w:pPr>
    </w:p>
    <w:p w:rsidR="00952B13" w:rsidRPr="00720EBF" w:rsidRDefault="00FF0820" w:rsidP="00720EBF">
      <w:pPr>
        <w:pStyle w:val="Heading1"/>
        <w:spacing w:before="2" w:after="2" w:line="360" w:lineRule="auto"/>
        <w:jc w:val="both"/>
        <w:rPr>
          <w:rFonts w:ascii="Arial" w:hAnsi="Arial" w:cs="Tahoma"/>
          <w:sz w:val="22"/>
          <w:szCs w:val="22"/>
        </w:rPr>
      </w:pPr>
      <w:r w:rsidRPr="00720EBF">
        <w:rPr>
          <w:rFonts w:ascii="Arial" w:hAnsi="Arial" w:cs="Tahoma"/>
          <w:b w:val="0"/>
          <w:sz w:val="22"/>
          <w:szCs w:val="22"/>
        </w:rPr>
        <w:t xml:space="preserve">This paper describes the first phase of a </w:t>
      </w:r>
      <w:r w:rsidR="004F26EA" w:rsidRPr="00720EBF">
        <w:rPr>
          <w:rFonts w:ascii="Arial" w:hAnsi="Arial" w:cs="Tahoma"/>
          <w:b w:val="0"/>
          <w:sz w:val="22"/>
          <w:szCs w:val="22"/>
        </w:rPr>
        <w:t xml:space="preserve">new RDC </w:t>
      </w:r>
      <w:r w:rsidRPr="00720EBF">
        <w:rPr>
          <w:rFonts w:ascii="Arial" w:hAnsi="Arial" w:cs="Tahoma"/>
          <w:b w:val="0"/>
          <w:sz w:val="22"/>
          <w:szCs w:val="22"/>
        </w:rPr>
        <w:t xml:space="preserve">project </w:t>
      </w:r>
      <w:r w:rsidR="004E14E4" w:rsidRPr="00720EBF">
        <w:rPr>
          <w:rFonts w:ascii="Arial" w:hAnsi="Arial" w:cs="Tahoma"/>
          <w:b w:val="0"/>
          <w:sz w:val="22"/>
          <w:szCs w:val="22"/>
        </w:rPr>
        <w:t>on</w:t>
      </w:r>
      <w:r w:rsidR="004E14E4" w:rsidRPr="00720EBF">
        <w:rPr>
          <w:rFonts w:ascii="Arial" w:hAnsi="Arial" w:cs="Tahoma"/>
          <w:b w:val="0"/>
          <w:color w:val="FF0000"/>
          <w:sz w:val="22"/>
          <w:szCs w:val="22"/>
        </w:rPr>
        <w:t xml:space="preserve"> </w:t>
      </w:r>
      <w:r w:rsidRPr="00720EBF">
        <w:rPr>
          <w:rFonts w:ascii="Arial" w:hAnsi="Arial" w:cs="Tahoma"/>
          <w:b w:val="0"/>
          <w:sz w:val="22"/>
          <w:szCs w:val="22"/>
        </w:rPr>
        <w:t>investigating prospective teachers</w:t>
      </w:r>
      <w:r w:rsidR="004F26EA" w:rsidRPr="00720EBF">
        <w:rPr>
          <w:rFonts w:ascii="Arial" w:hAnsi="Arial" w:cs="Tahoma"/>
          <w:b w:val="0"/>
          <w:sz w:val="22"/>
          <w:szCs w:val="22"/>
        </w:rPr>
        <w:t xml:space="preserve">’ knowledge of the concept of </w:t>
      </w:r>
      <w:r w:rsidR="004F26EA" w:rsidRPr="00720EBF">
        <w:rPr>
          <w:rFonts w:ascii="Arial" w:hAnsi="Arial" w:cs="Tahoma"/>
          <w:b w:val="0"/>
          <w:i/>
          <w:sz w:val="22"/>
          <w:szCs w:val="22"/>
        </w:rPr>
        <w:t>ratio</w:t>
      </w:r>
      <w:r w:rsidR="004F26EA" w:rsidRPr="00720EBF">
        <w:rPr>
          <w:rFonts w:ascii="Arial" w:hAnsi="Arial" w:cs="Tahoma"/>
          <w:b w:val="0"/>
          <w:sz w:val="22"/>
          <w:szCs w:val="22"/>
        </w:rPr>
        <w:t xml:space="preserve">, a key idea in both mathematics and science education. </w:t>
      </w:r>
      <w:r w:rsidR="00952B13" w:rsidRPr="00720EBF">
        <w:rPr>
          <w:rFonts w:ascii="Arial" w:hAnsi="Arial" w:cs="Tahoma"/>
          <w:b w:val="0"/>
          <w:sz w:val="22"/>
          <w:szCs w:val="22"/>
        </w:rPr>
        <w:t xml:space="preserve"> </w:t>
      </w:r>
      <w:r w:rsidR="001C1A16" w:rsidRPr="00720EBF">
        <w:rPr>
          <w:rFonts w:ascii="Arial" w:hAnsi="Arial" w:cs="Tahoma"/>
          <w:b w:val="0"/>
          <w:sz w:val="22"/>
          <w:szCs w:val="22"/>
        </w:rPr>
        <w:t>In the following section of the paper, the background to the project and choice of topic is described and research questions are stated.  The methodology, implementing a grounded theory design, is then outlined.  Ini</w:t>
      </w:r>
      <w:r w:rsidR="002752FB" w:rsidRPr="00720EBF">
        <w:rPr>
          <w:rFonts w:ascii="Arial" w:hAnsi="Arial" w:cs="Tahoma"/>
          <w:b w:val="0"/>
          <w:sz w:val="22"/>
          <w:szCs w:val="22"/>
        </w:rPr>
        <w:t xml:space="preserve">tial findings are presented and </w:t>
      </w:r>
      <w:r w:rsidR="001C1A16" w:rsidRPr="00720EBF">
        <w:rPr>
          <w:rFonts w:ascii="Arial" w:hAnsi="Arial" w:cs="Tahoma"/>
          <w:b w:val="0"/>
          <w:sz w:val="22"/>
          <w:szCs w:val="22"/>
        </w:rPr>
        <w:t xml:space="preserve">emergent themes identified.  </w:t>
      </w:r>
      <w:r w:rsidR="002752FB" w:rsidRPr="00720EBF">
        <w:rPr>
          <w:rFonts w:ascii="Arial" w:hAnsi="Arial" w:cs="Tahoma"/>
          <w:b w:val="0"/>
          <w:sz w:val="22"/>
          <w:szCs w:val="22"/>
        </w:rPr>
        <w:t>The d</w:t>
      </w:r>
      <w:r w:rsidR="00D75851" w:rsidRPr="00720EBF">
        <w:rPr>
          <w:rFonts w:ascii="Arial" w:hAnsi="Arial" w:cs="Tahoma"/>
          <w:b w:val="0"/>
          <w:sz w:val="22"/>
          <w:szCs w:val="22"/>
        </w:rPr>
        <w:t>iscussion</w:t>
      </w:r>
      <w:r w:rsidR="00034522" w:rsidRPr="00720EBF">
        <w:rPr>
          <w:rFonts w:ascii="Arial" w:hAnsi="Arial" w:cs="Tahoma"/>
          <w:b w:val="0"/>
          <w:sz w:val="22"/>
          <w:szCs w:val="22"/>
        </w:rPr>
        <w:t xml:space="preserve"> that follows proposes the </w:t>
      </w:r>
      <w:r w:rsidR="002752FB" w:rsidRPr="00720EBF">
        <w:rPr>
          <w:rFonts w:ascii="Arial" w:hAnsi="Arial" w:cs="Tahoma"/>
          <w:b w:val="0"/>
          <w:sz w:val="22"/>
          <w:szCs w:val="22"/>
        </w:rPr>
        <w:t>conjectures taken from the emergent themes and provides supporting evidence from existing research of the viability of these conjectures. Finally, the RDC proposes how these conjectures will be tested with other participants to begin the process of establishing their validity.</w:t>
      </w:r>
      <w:r w:rsidR="00D75851" w:rsidRPr="00720EBF">
        <w:rPr>
          <w:rFonts w:ascii="Arial" w:hAnsi="Arial" w:cs="Tahoma"/>
          <w:b w:val="0"/>
          <w:sz w:val="22"/>
          <w:szCs w:val="22"/>
        </w:rPr>
        <w:t xml:space="preserve"> </w:t>
      </w:r>
    </w:p>
    <w:p w:rsidR="00EC7F63" w:rsidRPr="00720EBF" w:rsidRDefault="00EC7F63" w:rsidP="00720EBF">
      <w:pPr>
        <w:pStyle w:val="Heading1"/>
        <w:spacing w:before="2" w:after="2" w:line="360" w:lineRule="auto"/>
        <w:jc w:val="both"/>
        <w:rPr>
          <w:rFonts w:ascii="Arial" w:hAnsi="Arial" w:cs="Tahoma"/>
          <w:b w:val="0"/>
          <w:sz w:val="22"/>
          <w:szCs w:val="22"/>
        </w:rPr>
      </w:pPr>
    </w:p>
    <w:p w:rsidR="00FF0820" w:rsidRPr="00720EBF" w:rsidRDefault="00FF0820" w:rsidP="00720EBF">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b/>
          <w:sz w:val="22"/>
          <w:szCs w:val="22"/>
        </w:rPr>
        <w:t>Investigating meanings and representations of ratio:  beginning the project</w:t>
      </w:r>
    </w:p>
    <w:p w:rsidR="00EC7F63" w:rsidRPr="00720EBF" w:rsidRDefault="00EC7F63" w:rsidP="00720EBF">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 xml:space="preserve">The importance of teachers’ content knowledge </w:t>
      </w:r>
      <w:r w:rsidRPr="00720EBF">
        <w:rPr>
          <w:rFonts w:ascii="Arial" w:hAnsi="Arial" w:cs="Tahoma"/>
          <w:i/>
          <w:sz w:val="22"/>
          <w:szCs w:val="22"/>
        </w:rPr>
        <w:t>for</w:t>
      </w:r>
      <w:r w:rsidRPr="00720EBF">
        <w:rPr>
          <w:rFonts w:ascii="Arial" w:hAnsi="Arial" w:cs="Tahoma"/>
          <w:sz w:val="22"/>
          <w:szCs w:val="22"/>
        </w:rPr>
        <w:t xml:space="preserve"> teaching is acknowledged by many as a factor of teacher quality in mathematics and science. Hill and Ball (2004), among others, advocate that it is important for teachers to understand deeply the discipline concepts for their levels of teaching </w:t>
      </w:r>
      <w:r w:rsidRPr="00720EBF">
        <w:rPr>
          <w:rFonts w:ascii="Arial" w:hAnsi="Arial" w:cs="Tahoma"/>
          <w:i/>
          <w:sz w:val="22"/>
          <w:szCs w:val="22"/>
        </w:rPr>
        <w:t>and</w:t>
      </w:r>
      <w:r w:rsidRPr="00720EBF">
        <w:rPr>
          <w:rFonts w:ascii="Arial" w:hAnsi="Arial" w:cs="Tahoma"/>
          <w:sz w:val="22"/>
          <w:szCs w:val="22"/>
        </w:rPr>
        <w:t xml:space="preserve"> the associated methodology for teaching those concepts. Research with regard to both mathematics and science teaching suggests that teachers’ knowledge of the discipline, in part</w:t>
      </w:r>
      <w:r w:rsidR="00D75851" w:rsidRPr="00720EBF">
        <w:rPr>
          <w:rFonts w:ascii="Arial" w:hAnsi="Arial" w:cs="Tahoma"/>
          <w:sz w:val="22"/>
          <w:szCs w:val="22"/>
        </w:rPr>
        <w:t>icular knowledge of the subject-</w:t>
      </w:r>
      <w:r w:rsidRPr="00720EBF">
        <w:rPr>
          <w:rFonts w:ascii="Arial" w:hAnsi="Arial" w:cs="Tahoma"/>
          <w:sz w:val="22"/>
          <w:szCs w:val="22"/>
        </w:rPr>
        <w:t>specific methodology in relation to teaching, emerges as a key factor in st</w:t>
      </w:r>
      <w:r w:rsidR="004C42B9" w:rsidRPr="00720EBF">
        <w:rPr>
          <w:rFonts w:ascii="Arial" w:hAnsi="Arial" w:cs="Tahoma"/>
          <w:sz w:val="22"/>
          <w:szCs w:val="22"/>
        </w:rPr>
        <w:t>udent learning (Darling-Hammond</w:t>
      </w:r>
      <w:r w:rsidRPr="00720EBF">
        <w:rPr>
          <w:rFonts w:ascii="Arial" w:hAnsi="Arial" w:cs="Tahoma"/>
          <w:sz w:val="22"/>
          <w:szCs w:val="22"/>
        </w:rPr>
        <w:t xml:space="preserve"> 2000).  As teacher educators who prepare prospective teachers for primary and secondary teaching, we recognize this important link between what teachers know and what their students come to understand about fundamental principles of mathematics and science.  </w:t>
      </w:r>
    </w:p>
    <w:p w:rsidR="00EC7F63" w:rsidRPr="00720EBF" w:rsidRDefault="00EC7F63" w:rsidP="00720EBF">
      <w:pPr>
        <w:widowControl w:val="0"/>
        <w:autoSpaceDE w:val="0"/>
        <w:autoSpaceDN w:val="0"/>
        <w:adjustRightInd w:val="0"/>
        <w:spacing w:line="360" w:lineRule="auto"/>
        <w:jc w:val="both"/>
        <w:rPr>
          <w:rFonts w:ascii="Arial" w:hAnsi="Arial" w:cs="Tahoma"/>
          <w:sz w:val="22"/>
          <w:szCs w:val="22"/>
        </w:rPr>
      </w:pPr>
    </w:p>
    <w:p w:rsidR="003F78AA" w:rsidRPr="00720EBF" w:rsidRDefault="00EC7F63" w:rsidP="00720EBF">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 xml:space="preserve">At the 2011 annual meeting of ATEE in Riga, our </w:t>
      </w:r>
      <w:r w:rsidR="00E166C5" w:rsidRPr="00720EBF">
        <w:rPr>
          <w:rFonts w:ascii="Arial" w:hAnsi="Arial" w:cs="Tahoma"/>
          <w:sz w:val="22"/>
          <w:szCs w:val="22"/>
        </w:rPr>
        <w:t>RDC c</w:t>
      </w:r>
      <w:r w:rsidRPr="00720EBF">
        <w:rPr>
          <w:rFonts w:ascii="Arial" w:hAnsi="Arial" w:cs="Tahoma"/>
          <w:sz w:val="22"/>
          <w:szCs w:val="22"/>
        </w:rPr>
        <w:t xml:space="preserve">oalesced around a research problem related to our prospective teachers’ knowledge of ratio </w:t>
      </w:r>
      <w:r w:rsidRPr="00720EBF">
        <w:rPr>
          <w:rFonts w:ascii="Arial" w:hAnsi="Arial" w:cs="Tahoma"/>
          <w:i/>
          <w:sz w:val="22"/>
          <w:szCs w:val="22"/>
        </w:rPr>
        <w:t>for</w:t>
      </w:r>
      <w:r w:rsidRPr="00720EBF">
        <w:rPr>
          <w:rFonts w:ascii="Arial" w:hAnsi="Arial" w:cs="Tahoma"/>
          <w:sz w:val="22"/>
          <w:szCs w:val="22"/>
        </w:rPr>
        <w:t xml:space="preserve"> teaching mathematics and science at primary and secondary levels. There are a number of definitions for ratio but clearly, no one definition has emerged that satisfies all </w:t>
      </w:r>
      <w:r w:rsidR="004C42B9" w:rsidRPr="00720EBF">
        <w:rPr>
          <w:rFonts w:ascii="Arial" w:hAnsi="Arial" w:cs="Tahoma"/>
          <w:sz w:val="22"/>
          <w:szCs w:val="22"/>
        </w:rPr>
        <w:t>educators (Lamon</w:t>
      </w:r>
      <w:r w:rsidRPr="00720EBF">
        <w:rPr>
          <w:rFonts w:ascii="Arial" w:hAnsi="Arial" w:cs="Tahoma"/>
          <w:sz w:val="22"/>
          <w:szCs w:val="22"/>
        </w:rPr>
        <w:t xml:space="preserve"> 2007). Clark, Berenson, and Cavey (2003) report on the multiple models held by mathematics educators and propose a model that situates part-whole relationships in the intersection between ratio and fraction. Our approach to defining ratio is to view the term as a comparison of like or unlike elements. While we include rates in the category of ratio</w:t>
      </w:r>
      <w:r w:rsidR="00E166C5" w:rsidRPr="00720EBF">
        <w:rPr>
          <w:rFonts w:ascii="Arial" w:hAnsi="Arial" w:cs="Tahoma"/>
          <w:sz w:val="22"/>
          <w:szCs w:val="22"/>
        </w:rPr>
        <w:t>,</w:t>
      </w:r>
      <w:r w:rsidRPr="00720EBF">
        <w:rPr>
          <w:rFonts w:ascii="Arial" w:hAnsi="Arial" w:cs="Tahoma"/>
          <w:sz w:val="22"/>
          <w:szCs w:val="22"/>
        </w:rPr>
        <w:t xml:space="preserve"> we do not include fractions that express part-whole relationships.</w:t>
      </w:r>
    </w:p>
    <w:p w:rsidR="003F78AA" w:rsidRPr="00720EBF" w:rsidRDefault="003F78AA" w:rsidP="00720EBF">
      <w:pPr>
        <w:widowControl w:val="0"/>
        <w:autoSpaceDE w:val="0"/>
        <w:autoSpaceDN w:val="0"/>
        <w:adjustRightInd w:val="0"/>
        <w:spacing w:line="360" w:lineRule="auto"/>
        <w:jc w:val="both"/>
        <w:rPr>
          <w:rFonts w:ascii="Arial" w:hAnsi="Arial" w:cs="Tahoma"/>
          <w:sz w:val="22"/>
          <w:szCs w:val="22"/>
        </w:rPr>
      </w:pPr>
    </w:p>
    <w:p w:rsidR="00EC7F63" w:rsidRPr="00720EBF" w:rsidRDefault="003F78AA" w:rsidP="00720EBF">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Ratio is an important concept in many middle and secondary school curricula. For example, probability, slope, trigonometry, and the derivative are just a few examples of mathematical concepts that use ratio as a tool. Mixture, solutions, moles, simple machines, and acceleration are some concepts in the physical sciences that depend on ratio and proportional reasoning; proportional thinking is relevant also in the use of chemical formulas and equations and photosynthesis rate.  Clearly ratio is a key tool to proportional reasoning and fundamental in terms of higher order thinking</w:t>
      </w:r>
      <w:r w:rsidR="00BC5E9E" w:rsidRPr="00720EBF">
        <w:rPr>
          <w:rFonts w:ascii="Arial" w:hAnsi="Arial" w:cs="Tahoma"/>
          <w:sz w:val="22"/>
          <w:szCs w:val="22"/>
        </w:rPr>
        <w:t xml:space="preserve"> and problem solving in multiple mathematics and science content areas (Ver</w:t>
      </w:r>
      <w:r w:rsidR="00E25BE4">
        <w:rPr>
          <w:rFonts w:ascii="Arial" w:hAnsi="Arial" w:cs="Tahoma"/>
          <w:sz w:val="22"/>
          <w:szCs w:val="22"/>
        </w:rPr>
        <w:t>g</w:t>
      </w:r>
      <w:r w:rsidR="00C6684A">
        <w:rPr>
          <w:rFonts w:ascii="Arial" w:hAnsi="Arial" w:cs="Tahoma"/>
          <w:sz w:val="22"/>
          <w:szCs w:val="22"/>
        </w:rPr>
        <w:t>naud</w:t>
      </w:r>
      <w:r w:rsidR="00BC5E9E" w:rsidRPr="00720EBF">
        <w:rPr>
          <w:rFonts w:ascii="Arial" w:hAnsi="Arial" w:cs="Tahoma"/>
          <w:sz w:val="22"/>
          <w:szCs w:val="22"/>
        </w:rPr>
        <w:t xml:space="preserve"> 1997).</w:t>
      </w:r>
    </w:p>
    <w:p w:rsidR="00EC7F63" w:rsidRPr="00720EBF" w:rsidRDefault="00EC7F63" w:rsidP="000439F9">
      <w:pPr>
        <w:widowControl w:val="0"/>
        <w:autoSpaceDE w:val="0"/>
        <w:autoSpaceDN w:val="0"/>
        <w:adjustRightInd w:val="0"/>
        <w:spacing w:line="360" w:lineRule="auto"/>
        <w:rPr>
          <w:rFonts w:ascii="Arial" w:hAnsi="Arial" w:cs="Tahoma"/>
          <w:sz w:val="22"/>
          <w:szCs w:val="22"/>
        </w:rPr>
      </w:pPr>
    </w:p>
    <w:p w:rsidR="00FB72AD" w:rsidRPr="00720EBF" w:rsidRDefault="003F78AA" w:rsidP="00997B75">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Difficulties associated with the ratio concept are documented in the literature. Research</w:t>
      </w:r>
      <w:r w:rsidR="00997B75">
        <w:rPr>
          <w:rFonts w:ascii="Arial" w:hAnsi="Arial" w:cs="Tahoma"/>
          <w:sz w:val="22"/>
          <w:szCs w:val="22"/>
        </w:rPr>
        <w:t>ers have studied the problem fro</w:t>
      </w:r>
      <w:r w:rsidRPr="00720EBF">
        <w:rPr>
          <w:rFonts w:ascii="Arial" w:hAnsi="Arial" w:cs="Tahoma"/>
          <w:sz w:val="22"/>
          <w:szCs w:val="22"/>
        </w:rPr>
        <w:t>m a number of perspectives, contexts, and subjects</w:t>
      </w:r>
      <w:r w:rsidR="00BC5E9E" w:rsidRPr="00720EBF">
        <w:rPr>
          <w:rFonts w:ascii="Arial" w:hAnsi="Arial" w:cs="Tahoma"/>
          <w:sz w:val="22"/>
          <w:szCs w:val="22"/>
        </w:rPr>
        <w:t xml:space="preserve">. Interest </w:t>
      </w:r>
      <w:r w:rsidR="002752FB" w:rsidRPr="00720EBF">
        <w:rPr>
          <w:rFonts w:ascii="Arial" w:hAnsi="Arial" w:cs="Tahoma"/>
          <w:sz w:val="22"/>
          <w:szCs w:val="22"/>
        </w:rPr>
        <w:t>in Piaget and Inhelder’s work on children’s reasoning became a focus of science educatio</w:t>
      </w:r>
      <w:r w:rsidR="00541D03" w:rsidRPr="00720EBF">
        <w:rPr>
          <w:rFonts w:ascii="Arial" w:hAnsi="Arial" w:cs="Tahoma"/>
          <w:sz w:val="22"/>
          <w:szCs w:val="22"/>
        </w:rPr>
        <w:t>n research beginning in the early sixties</w:t>
      </w:r>
      <w:r w:rsidR="002752FB" w:rsidRPr="00720EBF">
        <w:rPr>
          <w:rFonts w:ascii="Arial" w:hAnsi="Arial" w:cs="Tahoma"/>
          <w:sz w:val="22"/>
          <w:szCs w:val="22"/>
        </w:rPr>
        <w:t xml:space="preserve"> (</w:t>
      </w:r>
      <w:r w:rsidR="00BC5E9E" w:rsidRPr="00720EBF">
        <w:rPr>
          <w:rFonts w:ascii="Arial" w:hAnsi="Arial" w:cs="Tahoma"/>
          <w:sz w:val="22"/>
          <w:szCs w:val="22"/>
        </w:rPr>
        <w:t xml:space="preserve">eg. </w:t>
      </w:r>
      <w:r w:rsidR="002752FB" w:rsidRPr="00720EBF">
        <w:rPr>
          <w:rFonts w:ascii="Arial" w:hAnsi="Arial" w:cs="Tahoma"/>
          <w:sz w:val="22"/>
          <w:szCs w:val="22"/>
        </w:rPr>
        <w:t>Lawson 1986).</w:t>
      </w:r>
      <w:r w:rsidR="00D75851" w:rsidRPr="00720EBF">
        <w:rPr>
          <w:rFonts w:ascii="Arial" w:hAnsi="Arial" w:cs="Tahoma"/>
          <w:sz w:val="22"/>
          <w:szCs w:val="22"/>
        </w:rPr>
        <w:t xml:space="preserve"> </w:t>
      </w:r>
      <w:r w:rsidR="00BC5E9E" w:rsidRPr="00720EBF">
        <w:rPr>
          <w:rFonts w:ascii="Arial" w:hAnsi="Arial" w:cs="Tahoma"/>
          <w:sz w:val="22"/>
          <w:szCs w:val="22"/>
        </w:rPr>
        <w:t xml:space="preserve">In general, both science and mathematics educators focused on children’s ideas of ratio over the intervening years. </w:t>
      </w:r>
      <w:r w:rsidRPr="00720EBF">
        <w:rPr>
          <w:rFonts w:ascii="Arial" w:hAnsi="Arial" w:cs="Tahoma"/>
          <w:sz w:val="22"/>
          <w:szCs w:val="22"/>
        </w:rPr>
        <w:t xml:space="preserve">More recently </w:t>
      </w:r>
      <w:r w:rsidR="00DB1F52" w:rsidRPr="00720EBF">
        <w:rPr>
          <w:rFonts w:ascii="Arial" w:hAnsi="Arial" w:cs="Tahoma"/>
          <w:sz w:val="22"/>
          <w:szCs w:val="22"/>
        </w:rPr>
        <w:t>Livy and Vale (201</w:t>
      </w:r>
      <w:r w:rsidR="001B256E" w:rsidRPr="00720EBF">
        <w:rPr>
          <w:rFonts w:ascii="Arial" w:hAnsi="Arial" w:cs="Tahoma"/>
          <w:sz w:val="22"/>
          <w:szCs w:val="22"/>
        </w:rPr>
        <w:t>1)</w:t>
      </w:r>
      <w:r w:rsidRPr="00720EBF">
        <w:rPr>
          <w:rFonts w:ascii="Arial" w:hAnsi="Arial" w:cs="Tahoma"/>
          <w:sz w:val="22"/>
          <w:szCs w:val="22"/>
        </w:rPr>
        <w:t xml:space="preserve"> </w:t>
      </w:r>
      <w:r w:rsidR="001B256E" w:rsidRPr="00720EBF">
        <w:rPr>
          <w:rFonts w:ascii="Arial" w:hAnsi="Arial" w:cs="Tahoma"/>
          <w:sz w:val="22"/>
          <w:szCs w:val="22"/>
        </w:rPr>
        <w:t>summarise</w:t>
      </w:r>
      <w:r w:rsidR="002D5671" w:rsidRPr="00720EBF">
        <w:rPr>
          <w:rFonts w:ascii="Arial" w:hAnsi="Arial" w:cs="Tahoma"/>
          <w:sz w:val="22"/>
          <w:szCs w:val="22"/>
        </w:rPr>
        <w:t>d</w:t>
      </w:r>
      <w:r w:rsidR="001B256E" w:rsidRPr="00720EBF">
        <w:rPr>
          <w:rFonts w:ascii="Arial" w:hAnsi="Arial" w:cs="Tahoma"/>
          <w:sz w:val="22"/>
          <w:szCs w:val="22"/>
        </w:rPr>
        <w:t xml:space="preserve"> evidence that students in the middle years of schooling have poor understanding of</w:t>
      </w:r>
      <w:r w:rsidR="002752FB" w:rsidRPr="00720EBF">
        <w:rPr>
          <w:rFonts w:ascii="Arial" w:hAnsi="Arial" w:cs="Tahoma"/>
          <w:sz w:val="22"/>
          <w:szCs w:val="22"/>
        </w:rPr>
        <w:t xml:space="preserve"> ratio and proportional reasoning</w:t>
      </w:r>
      <w:r w:rsidR="00BC5E9E" w:rsidRPr="00720EBF">
        <w:rPr>
          <w:rFonts w:ascii="Arial" w:hAnsi="Arial" w:cs="Tahoma"/>
          <w:sz w:val="22"/>
          <w:szCs w:val="22"/>
        </w:rPr>
        <w:t xml:space="preserve">. </w:t>
      </w:r>
      <w:r w:rsidR="00541D03" w:rsidRPr="00720EBF">
        <w:rPr>
          <w:rFonts w:ascii="Arial" w:hAnsi="Arial" w:cs="Tahoma"/>
          <w:sz w:val="22"/>
          <w:szCs w:val="22"/>
        </w:rPr>
        <w:t xml:space="preserve">Evidently, little has changed over the past 50 years in terms of children’s understanding. </w:t>
      </w:r>
    </w:p>
    <w:p w:rsidR="00FB72AD" w:rsidRPr="00720EBF" w:rsidRDefault="00FB72AD" w:rsidP="000439F9">
      <w:pPr>
        <w:widowControl w:val="0"/>
        <w:autoSpaceDE w:val="0"/>
        <w:autoSpaceDN w:val="0"/>
        <w:adjustRightInd w:val="0"/>
        <w:spacing w:line="360" w:lineRule="auto"/>
        <w:rPr>
          <w:rFonts w:ascii="Arial" w:hAnsi="Arial" w:cs="Tahoma"/>
          <w:sz w:val="22"/>
          <w:szCs w:val="22"/>
        </w:rPr>
      </w:pPr>
    </w:p>
    <w:p w:rsidR="00EC7F63" w:rsidRPr="00720EBF" w:rsidRDefault="00FB72AD" w:rsidP="00997B75">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The intersection of ratio between mathematics and science concepts makes it an interesting area of study of teacher knowledge, not only of teacher content knowledge but also of methodological knowledge.</w:t>
      </w:r>
      <w:r w:rsidR="00997B75">
        <w:rPr>
          <w:rFonts w:ascii="Arial" w:hAnsi="Arial" w:cs="Tahoma"/>
          <w:sz w:val="22"/>
          <w:szCs w:val="22"/>
        </w:rPr>
        <w:t xml:space="preserve"> Recently </w:t>
      </w:r>
      <w:r w:rsidRPr="00720EBF">
        <w:rPr>
          <w:rFonts w:ascii="Arial" w:hAnsi="Arial" w:cs="Tahoma"/>
          <w:sz w:val="22"/>
          <w:szCs w:val="22"/>
        </w:rPr>
        <w:t>Livy and Vale (2011) reported that</w:t>
      </w:r>
      <w:r w:rsidR="00BC5E9E" w:rsidRPr="00720EBF">
        <w:rPr>
          <w:rFonts w:ascii="Arial" w:hAnsi="Arial" w:cs="Tahoma"/>
          <w:sz w:val="22"/>
          <w:szCs w:val="22"/>
        </w:rPr>
        <w:t xml:space="preserve"> </w:t>
      </w:r>
      <w:r w:rsidR="002D5671" w:rsidRPr="00720EBF">
        <w:rPr>
          <w:rFonts w:ascii="Arial" w:hAnsi="Arial" w:cs="Tahoma"/>
          <w:sz w:val="22"/>
          <w:szCs w:val="22"/>
        </w:rPr>
        <w:t xml:space="preserve">297 </w:t>
      </w:r>
      <w:r w:rsidR="00BC5E9E" w:rsidRPr="00720EBF">
        <w:rPr>
          <w:rFonts w:ascii="Arial" w:hAnsi="Arial" w:cs="Tahoma"/>
          <w:sz w:val="22"/>
          <w:szCs w:val="22"/>
        </w:rPr>
        <w:t xml:space="preserve">prospective teachers </w:t>
      </w:r>
      <w:r w:rsidRPr="00720EBF">
        <w:rPr>
          <w:rFonts w:ascii="Arial" w:hAnsi="Arial" w:cs="Tahoma"/>
          <w:sz w:val="22"/>
          <w:szCs w:val="22"/>
        </w:rPr>
        <w:t xml:space="preserve">gave </w:t>
      </w:r>
      <w:r w:rsidR="001B256E" w:rsidRPr="00720EBF">
        <w:rPr>
          <w:rFonts w:ascii="Arial" w:hAnsi="Arial" w:cs="Tahoma"/>
          <w:sz w:val="22"/>
          <w:szCs w:val="22"/>
        </w:rPr>
        <w:t>low level</w:t>
      </w:r>
      <w:r w:rsidRPr="00720EBF">
        <w:rPr>
          <w:rFonts w:ascii="Arial" w:hAnsi="Arial" w:cs="Tahoma"/>
          <w:sz w:val="22"/>
          <w:szCs w:val="22"/>
        </w:rPr>
        <w:t>s</w:t>
      </w:r>
      <w:r w:rsidR="001B256E" w:rsidRPr="00720EBF">
        <w:rPr>
          <w:rFonts w:ascii="Arial" w:hAnsi="Arial" w:cs="Tahoma"/>
          <w:sz w:val="22"/>
          <w:szCs w:val="22"/>
        </w:rPr>
        <w:t xml:space="preserve"> of correct responses to relevant </w:t>
      </w:r>
      <w:r w:rsidR="002D5671" w:rsidRPr="00720EBF">
        <w:rPr>
          <w:rFonts w:ascii="Arial" w:hAnsi="Arial" w:cs="Tahoma"/>
          <w:sz w:val="22"/>
          <w:szCs w:val="22"/>
        </w:rPr>
        <w:t xml:space="preserve">ratio </w:t>
      </w:r>
      <w:r w:rsidR="00541D03" w:rsidRPr="00720EBF">
        <w:rPr>
          <w:rFonts w:ascii="Arial" w:hAnsi="Arial" w:cs="Tahoma"/>
          <w:sz w:val="22"/>
          <w:szCs w:val="22"/>
        </w:rPr>
        <w:t xml:space="preserve">and proportion </w:t>
      </w:r>
      <w:r w:rsidR="002D5671" w:rsidRPr="00720EBF">
        <w:rPr>
          <w:rFonts w:ascii="Arial" w:hAnsi="Arial" w:cs="Tahoma"/>
          <w:sz w:val="22"/>
          <w:szCs w:val="22"/>
        </w:rPr>
        <w:t>test items</w:t>
      </w:r>
      <w:r w:rsidR="001B256E" w:rsidRPr="00720EBF">
        <w:rPr>
          <w:rFonts w:ascii="Arial" w:hAnsi="Arial" w:cs="Tahoma"/>
          <w:sz w:val="22"/>
          <w:szCs w:val="22"/>
        </w:rPr>
        <w:t xml:space="preserve">.  The implications of </w:t>
      </w:r>
      <w:r w:rsidR="00DB1F52" w:rsidRPr="00720EBF">
        <w:rPr>
          <w:rFonts w:ascii="Arial" w:hAnsi="Arial" w:cs="Tahoma"/>
          <w:sz w:val="22"/>
          <w:szCs w:val="22"/>
        </w:rPr>
        <w:t>such findings</w:t>
      </w:r>
      <w:r w:rsidR="003F78AA" w:rsidRPr="00720EBF">
        <w:rPr>
          <w:rFonts w:ascii="Arial" w:hAnsi="Arial" w:cs="Tahoma"/>
          <w:sz w:val="22"/>
          <w:szCs w:val="22"/>
        </w:rPr>
        <w:t xml:space="preserve"> are worrying. </w:t>
      </w:r>
      <w:r w:rsidRPr="00720EBF">
        <w:rPr>
          <w:rFonts w:ascii="Arial" w:hAnsi="Arial" w:cs="Tahoma"/>
          <w:sz w:val="22"/>
          <w:szCs w:val="22"/>
        </w:rPr>
        <w:t>However, f</w:t>
      </w:r>
      <w:r w:rsidR="00541D03" w:rsidRPr="00720EBF">
        <w:rPr>
          <w:rFonts w:ascii="Arial" w:hAnsi="Arial" w:cs="Tahoma"/>
          <w:sz w:val="22"/>
          <w:szCs w:val="22"/>
        </w:rPr>
        <w:t xml:space="preserve">ew studies seem to focus on teacher education and few </w:t>
      </w:r>
      <w:r w:rsidR="00EC7F63" w:rsidRPr="00720EBF">
        <w:rPr>
          <w:rFonts w:ascii="Arial" w:hAnsi="Arial" w:cs="Tahoma"/>
          <w:sz w:val="22"/>
          <w:szCs w:val="22"/>
        </w:rPr>
        <w:t xml:space="preserve">have examined teachers’ knowledge of ratio </w:t>
      </w:r>
      <w:r w:rsidR="00EC7F63" w:rsidRPr="00720EBF">
        <w:rPr>
          <w:rFonts w:ascii="Arial" w:hAnsi="Arial" w:cs="Tahoma"/>
          <w:i/>
          <w:sz w:val="22"/>
          <w:szCs w:val="22"/>
        </w:rPr>
        <w:t>for</w:t>
      </w:r>
      <w:r w:rsidR="00EC7F63" w:rsidRPr="00720EBF">
        <w:rPr>
          <w:rFonts w:ascii="Arial" w:hAnsi="Arial" w:cs="Tahoma"/>
          <w:sz w:val="22"/>
          <w:szCs w:val="22"/>
        </w:rPr>
        <w:t xml:space="preserve"> teaching (Ball, Lubienski, &amp;</w:t>
      </w:r>
      <w:r w:rsidR="004C42B9" w:rsidRPr="00720EBF">
        <w:rPr>
          <w:rFonts w:ascii="Arial" w:hAnsi="Arial" w:cs="Tahoma"/>
          <w:sz w:val="22"/>
          <w:szCs w:val="22"/>
        </w:rPr>
        <w:t xml:space="preserve"> </w:t>
      </w:r>
      <w:r w:rsidR="00AD57C1">
        <w:rPr>
          <w:rFonts w:ascii="Arial" w:hAnsi="Arial" w:cs="Tahoma"/>
          <w:sz w:val="22"/>
          <w:szCs w:val="22"/>
        </w:rPr>
        <w:t>Mewborn</w:t>
      </w:r>
      <w:r w:rsidR="00EC7F63" w:rsidRPr="00720EBF">
        <w:rPr>
          <w:rFonts w:ascii="Arial" w:hAnsi="Arial" w:cs="Tahoma"/>
          <w:sz w:val="22"/>
          <w:szCs w:val="22"/>
        </w:rPr>
        <w:t xml:space="preserve"> </w:t>
      </w:r>
      <w:r w:rsidR="00AD57C1">
        <w:rPr>
          <w:rFonts w:ascii="Arial" w:hAnsi="Arial" w:cs="Tahoma"/>
          <w:sz w:val="22"/>
          <w:szCs w:val="22"/>
        </w:rPr>
        <w:t xml:space="preserve"> </w:t>
      </w:r>
      <w:r w:rsidR="00EC7F63" w:rsidRPr="00720EBF">
        <w:rPr>
          <w:rFonts w:ascii="Arial" w:hAnsi="Arial" w:cs="Tahoma"/>
          <w:sz w:val="22"/>
          <w:szCs w:val="22"/>
        </w:rPr>
        <w:t>200</w:t>
      </w:r>
      <w:r w:rsidR="00DF3ACD">
        <w:rPr>
          <w:rFonts w:ascii="Arial" w:hAnsi="Arial" w:cs="Tahoma"/>
          <w:sz w:val="22"/>
          <w:szCs w:val="22"/>
        </w:rPr>
        <w:t>1</w:t>
      </w:r>
      <w:r w:rsidR="00EC7F63" w:rsidRPr="00720EBF">
        <w:rPr>
          <w:rFonts w:ascii="Arial" w:hAnsi="Arial" w:cs="Tahoma"/>
          <w:sz w:val="22"/>
          <w:szCs w:val="22"/>
        </w:rPr>
        <w:t xml:space="preserve">). Since ratio is </w:t>
      </w:r>
      <w:r w:rsidR="00E166C5" w:rsidRPr="00720EBF">
        <w:rPr>
          <w:rFonts w:ascii="Arial" w:hAnsi="Arial" w:cs="Tahoma"/>
          <w:sz w:val="22"/>
          <w:szCs w:val="22"/>
        </w:rPr>
        <w:t xml:space="preserve">such </w:t>
      </w:r>
      <w:r w:rsidR="00EC7F63" w:rsidRPr="00720EBF">
        <w:rPr>
          <w:rFonts w:ascii="Arial" w:hAnsi="Arial" w:cs="Tahoma"/>
          <w:sz w:val="22"/>
          <w:szCs w:val="22"/>
        </w:rPr>
        <w:t>a valuable tool of proportional reasoning in mathematics and science</w:t>
      </w:r>
      <w:r w:rsidR="009B0E02" w:rsidRPr="00720EBF">
        <w:rPr>
          <w:rFonts w:ascii="Arial" w:hAnsi="Arial" w:cs="Tahoma"/>
          <w:sz w:val="22"/>
          <w:szCs w:val="22"/>
        </w:rPr>
        <w:t>,</w:t>
      </w:r>
      <w:r w:rsidR="00EC7F63" w:rsidRPr="00720EBF">
        <w:rPr>
          <w:rFonts w:ascii="Arial" w:hAnsi="Arial" w:cs="Tahoma"/>
          <w:sz w:val="22"/>
          <w:szCs w:val="22"/>
        </w:rPr>
        <w:t xml:space="preserve"> it is useful to study </w:t>
      </w:r>
      <w:r w:rsidR="00EC7F63" w:rsidRPr="00720EBF">
        <w:rPr>
          <w:rFonts w:ascii="Arial" w:hAnsi="Arial" w:cs="Tahoma"/>
          <w:i/>
          <w:sz w:val="22"/>
          <w:szCs w:val="22"/>
        </w:rPr>
        <w:t>representations</w:t>
      </w:r>
      <w:r w:rsidR="00EC7F63" w:rsidRPr="00720EBF">
        <w:rPr>
          <w:rFonts w:ascii="Arial" w:hAnsi="Arial" w:cs="Tahoma"/>
          <w:sz w:val="22"/>
          <w:szCs w:val="22"/>
        </w:rPr>
        <w:t xml:space="preserve"> that teachers associate with ratio across the two disciplines.</w:t>
      </w:r>
      <w:r w:rsidR="00631111" w:rsidRPr="00720EBF">
        <w:rPr>
          <w:rFonts w:ascii="Arial" w:hAnsi="Arial" w:cs="Tahoma"/>
          <w:sz w:val="22"/>
          <w:szCs w:val="22"/>
        </w:rPr>
        <w:t xml:space="preserve"> </w:t>
      </w:r>
      <w:r w:rsidR="00AD57C1">
        <w:rPr>
          <w:rFonts w:ascii="Arial" w:hAnsi="Arial" w:cs="Tahoma"/>
          <w:sz w:val="22"/>
          <w:szCs w:val="22"/>
        </w:rPr>
        <w:t xml:space="preserve"> </w:t>
      </w:r>
    </w:p>
    <w:p w:rsidR="00EC7F63" w:rsidRPr="00720EBF" w:rsidRDefault="00EC7F63" w:rsidP="000439F9">
      <w:pPr>
        <w:widowControl w:val="0"/>
        <w:autoSpaceDE w:val="0"/>
        <w:autoSpaceDN w:val="0"/>
        <w:adjustRightInd w:val="0"/>
        <w:spacing w:line="360" w:lineRule="auto"/>
        <w:rPr>
          <w:rFonts w:ascii="Arial" w:hAnsi="Arial" w:cs="Tahoma"/>
          <w:sz w:val="22"/>
          <w:szCs w:val="22"/>
        </w:rPr>
      </w:pPr>
    </w:p>
    <w:p w:rsidR="00EC7F63" w:rsidRPr="00720EBF" w:rsidRDefault="00EC7F63" w:rsidP="00997B75">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Representations are defined here as any idea</w:t>
      </w:r>
      <w:r w:rsidR="00E166C5" w:rsidRPr="00720EBF">
        <w:rPr>
          <w:rFonts w:ascii="Arial" w:hAnsi="Arial" w:cs="Tahoma"/>
          <w:sz w:val="22"/>
          <w:szCs w:val="22"/>
        </w:rPr>
        <w:t>s</w:t>
      </w:r>
      <w:r w:rsidRPr="00720EBF">
        <w:rPr>
          <w:rFonts w:ascii="Arial" w:hAnsi="Arial" w:cs="Tahoma"/>
          <w:sz w:val="22"/>
          <w:szCs w:val="22"/>
        </w:rPr>
        <w:t xml:space="preserve"> associated with another idea in mathematics or science that is written, drawn, or spoken. A prospective science teacher may recall using ratios to draw a diagram of a lever or a description of a lab to measure speed. A prospective mathematics teacher may associate </w:t>
      </w:r>
      <w:r w:rsidR="008B72E7" w:rsidRPr="00720EBF">
        <w:rPr>
          <w:rFonts w:ascii="Arial" w:hAnsi="Arial" w:cs="Tahoma"/>
          <w:sz w:val="22"/>
          <w:szCs w:val="22"/>
        </w:rPr>
        <w:t>ratio</w:t>
      </w:r>
      <w:r w:rsidRPr="00720EBF">
        <w:rPr>
          <w:rFonts w:ascii="Arial" w:hAnsi="Arial" w:cs="Tahoma"/>
          <w:sz w:val="22"/>
          <w:szCs w:val="22"/>
        </w:rPr>
        <w:t xml:space="preserve"> with </w:t>
      </w:r>
      <w:r w:rsidR="008B72E7" w:rsidRPr="00720EBF">
        <w:rPr>
          <w:rFonts w:ascii="Arial" w:hAnsi="Arial" w:cs="Tahoma"/>
          <w:sz w:val="22"/>
          <w:szCs w:val="22"/>
        </w:rPr>
        <w:t>slope</w:t>
      </w:r>
      <w:r w:rsidRPr="00720EBF">
        <w:rPr>
          <w:rFonts w:ascii="Arial" w:hAnsi="Arial" w:cs="Tahoma"/>
          <w:sz w:val="22"/>
          <w:szCs w:val="22"/>
        </w:rPr>
        <w:t xml:space="preserve"> on a graph or t</w:t>
      </w:r>
      <w:r w:rsidR="008B72E7" w:rsidRPr="00720EBF">
        <w:rPr>
          <w:rFonts w:ascii="Arial" w:hAnsi="Arial" w:cs="Tahoma"/>
          <w:sz w:val="22"/>
          <w:szCs w:val="22"/>
        </w:rPr>
        <w:t>he scale on a map or the odds for</w:t>
      </w:r>
      <w:r w:rsidRPr="00720EBF">
        <w:rPr>
          <w:rFonts w:ascii="Arial" w:hAnsi="Arial" w:cs="Tahoma"/>
          <w:sz w:val="22"/>
          <w:szCs w:val="22"/>
        </w:rPr>
        <w:t xml:space="preserve"> dice. Representations are useful tool</w:t>
      </w:r>
      <w:r w:rsidR="008B72E7" w:rsidRPr="00720EBF">
        <w:rPr>
          <w:rFonts w:ascii="Arial" w:hAnsi="Arial" w:cs="Tahoma"/>
          <w:sz w:val="22"/>
          <w:szCs w:val="22"/>
        </w:rPr>
        <w:t>s</w:t>
      </w:r>
      <w:r w:rsidRPr="00720EBF">
        <w:rPr>
          <w:rFonts w:ascii="Arial" w:hAnsi="Arial" w:cs="Tahoma"/>
          <w:sz w:val="22"/>
          <w:szCs w:val="22"/>
        </w:rPr>
        <w:t xml:space="preserve"> for researchers in mathematics and science education to study students and teachers’ ideas (</w:t>
      </w:r>
      <w:r w:rsidR="008B72E7" w:rsidRPr="00720EBF">
        <w:rPr>
          <w:rFonts w:ascii="Arial" w:hAnsi="Arial" w:cs="Tahoma"/>
          <w:sz w:val="22"/>
          <w:szCs w:val="22"/>
        </w:rPr>
        <w:t>see for example</w:t>
      </w:r>
      <w:r w:rsidR="004C42B9" w:rsidRPr="00720EBF">
        <w:rPr>
          <w:rFonts w:ascii="Arial" w:hAnsi="Arial" w:cs="Tahoma"/>
          <w:sz w:val="22"/>
          <w:szCs w:val="22"/>
        </w:rPr>
        <w:t xml:space="preserve"> Janvier 1987; van Someren 1998; Arcavi</w:t>
      </w:r>
      <w:r w:rsidRPr="00720EBF">
        <w:rPr>
          <w:rFonts w:ascii="Arial" w:hAnsi="Arial" w:cs="Tahoma"/>
          <w:sz w:val="22"/>
          <w:szCs w:val="22"/>
        </w:rPr>
        <w:t xml:space="preserve"> 2003; Lee</w:t>
      </w:r>
      <w:r w:rsidR="00662A56">
        <w:rPr>
          <w:rFonts w:ascii="Arial" w:hAnsi="Arial" w:cs="Tahoma"/>
          <w:sz w:val="22"/>
          <w:szCs w:val="22"/>
        </w:rPr>
        <w:t>,</w:t>
      </w:r>
      <w:r w:rsidR="004C42B9" w:rsidRPr="00720EBF">
        <w:rPr>
          <w:rFonts w:ascii="Arial" w:hAnsi="Arial" w:cs="Tahoma"/>
          <w:sz w:val="22"/>
          <w:szCs w:val="22"/>
        </w:rPr>
        <w:t xml:space="preserve"> &amp; Luft</w:t>
      </w:r>
      <w:r w:rsidR="00662A56">
        <w:rPr>
          <w:rFonts w:ascii="Arial" w:hAnsi="Arial" w:cs="Tahoma"/>
          <w:sz w:val="22"/>
          <w:szCs w:val="22"/>
        </w:rPr>
        <w:t xml:space="preserve"> </w:t>
      </w:r>
      <w:r w:rsidRPr="00720EBF">
        <w:rPr>
          <w:rFonts w:ascii="Arial" w:hAnsi="Arial" w:cs="Tahoma"/>
          <w:sz w:val="22"/>
          <w:szCs w:val="22"/>
        </w:rPr>
        <w:t>2008).  It is with the study of teachers’ representation</w:t>
      </w:r>
      <w:r w:rsidR="00997B75">
        <w:rPr>
          <w:rFonts w:ascii="Arial" w:hAnsi="Arial" w:cs="Tahoma"/>
          <w:sz w:val="22"/>
          <w:szCs w:val="22"/>
        </w:rPr>
        <w:t>s</w:t>
      </w:r>
      <w:r w:rsidRPr="00720EBF">
        <w:rPr>
          <w:rFonts w:ascii="Arial" w:hAnsi="Arial" w:cs="Tahoma"/>
          <w:sz w:val="22"/>
          <w:szCs w:val="22"/>
        </w:rPr>
        <w:t xml:space="preserve"> of ratio that we began our study using a </w:t>
      </w:r>
      <w:r w:rsidRPr="00720EBF">
        <w:rPr>
          <w:rFonts w:ascii="Arial" w:hAnsi="Arial" w:cs="Tahoma"/>
          <w:i/>
          <w:sz w:val="22"/>
          <w:szCs w:val="22"/>
        </w:rPr>
        <w:t>grounded theory</w:t>
      </w:r>
      <w:r w:rsidRPr="00720EBF">
        <w:rPr>
          <w:rFonts w:ascii="Arial" w:hAnsi="Arial" w:cs="Tahoma"/>
          <w:sz w:val="22"/>
          <w:szCs w:val="22"/>
        </w:rPr>
        <w:t xml:space="preserve"> research design</w:t>
      </w:r>
      <w:r w:rsidR="004C42B9" w:rsidRPr="00720EBF">
        <w:rPr>
          <w:rFonts w:ascii="Arial" w:hAnsi="Arial" w:cs="Tahoma"/>
          <w:sz w:val="22"/>
          <w:szCs w:val="22"/>
        </w:rPr>
        <w:t xml:space="preserve"> (Strauss</w:t>
      </w:r>
      <w:r w:rsidR="00662A56">
        <w:rPr>
          <w:rFonts w:ascii="Arial" w:hAnsi="Arial" w:cs="Tahoma"/>
          <w:sz w:val="22"/>
          <w:szCs w:val="22"/>
        </w:rPr>
        <w:t>,</w:t>
      </w:r>
      <w:r w:rsidR="004C42B9" w:rsidRPr="00720EBF">
        <w:rPr>
          <w:rFonts w:ascii="Arial" w:hAnsi="Arial" w:cs="Tahoma"/>
          <w:sz w:val="22"/>
          <w:szCs w:val="22"/>
        </w:rPr>
        <w:t xml:space="preserve"> &amp; Corbin</w:t>
      </w:r>
      <w:r w:rsidR="00B86E1B" w:rsidRPr="00720EBF">
        <w:rPr>
          <w:rFonts w:ascii="Arial" w:hAnsi="Arial" w:cs="Tahoma"/>
          <w:sz w:val="22"/>
          <w:szCs w:val="22"/>
        </w:rPr>
        <w:t xml:space="preserve"> 1990)</w:t>
      </w:r>
      <w:r w:rsidR="00631111" w:rsidRPr="00720EBF">
        <w:rPr>
          <w:rFonts w:ascii="Arial" w:hAnsi="Arial" w:cs="Tahoma"/>
          <w:sz w:val="22"/>
          <w:szCs w:val="22"/>
        </w:rPr>
        <w:t>.</w:t>
      </w:r>
    </w:p>
    <w:p w:rsidR="00EC7F63" w:rsidRPr="00720EBF" w:rsidRDefault="00EC7F63" w:rsidP="000439F9">
      <w:pPr>
        <w:widowControl w:val="0"/>
        <w:autoSpaceDE w:val="0"/>
        <w:autoSpaceDN w:val="0"/>
        <w:adjustRightInd w:val="0"/>
        <w:spacing w:line="360" w:lineRule="auto"/>
        <w:rPr>
          <w:rFonts w:ascii="Arial" w:hAnsi="Arial" w:cs="Tahoma"/>
          <w:sz w:val="22"/>
          <w:szCs w:val="22"/>
        </w:rPr>
      </w:pPr>
      <w:r w:rsidRPr="00720EBF">
        <w:rPr>
          <w:rFonts w:ascii="Arial" w:hAnsi="Arial" w:cs="Tahoma"/>
          <w:sz w:val="22"/>
          <w:szCs w:val="22"/>
        </w:rPr>
        <w:tab/>
      </w:r>
    </w:p>
    <w:p w:rsidR="00EC7F63" w:rsidRPr="00720EBF" w:rsidRDefault="00EC7F63" w:rsidP="00374359">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A grounded theory approach seeks to develop conjectures derived from a given sample of participants. The literature of published research is studied to find evidence for continuing study of the conjectures.  These are then tested and retested with different samples and/or populations of participants (</w:t>
      </w:r>
      <w:r w:rsidR="009029F4" w:rsidRPr="00720EBF">
        <w:rPr>
          <w:rFonts w:ascii="Arial" w:hAnsi="Arial" w:cs="Tahoma"/>
          <w:sz w:val="22"/>
          <w:szCs w:val="22"/>
        </w:rPr>
        <w:t>for example</w:t>
      </w:r>
      <w:r w:rsidR="004C42B9" w:rsidRPr="00720EBF">
        <w:rPr>
          <w:rFonts w:ascii="Arial" w:hAnsi="Arial" w:cs="Tahoma"/>
          <w:sz w:val="22"/>
          <w:szCs w:val="22"/>
        </w:rPr>
        <w:t xml:space="preserve"> Birks</w:t>
      </w:r>
      <w:r w:rsidRPr="00720EBF">
        <w:rPr>
          <w:rFonts w:ascii="Arial" w:hAnsi="Arial" w:cs="Tahoma"/>
          <w:sz w:val="22"/>
          <w:szCs w:val="22"/>
        </w:rPr>
        <w:t xml:space="preserve"> 2011). In this initial phase of our study we chose to study the following questions.</w:t>
      </w:r>
      <w:r w:rsidRPr="00720EBF">
        <w:rPr>
          <w:rFonts w:ascii="Arial" w:hAnsi="Arial" w:cs="Tahoma"/>
          <w:sz w:val="22"/>
          <w:szCs w:val="22"/>
        </w:rPr>
        <w:tab/>
      </w:r>
    </w:p>
    <w:p w:rsidR="00EC7F63" w:rsidRPr="00720EBF" w:rsidRDefault="00EC7F63" w:rsidP="00374359">
      <w:pPr>
        <w:widowControl w:val="0"/>
        <w:autoSpaceDE w:val="0"/>
        <w:autoSpaceDN w:val="0"/>
        <w:adjustRightInd w:val="0"/>
        <w:spacing w:line="360" w:lineRule="auto"/>
        <w:jc w:val="both"/>
        <w:rPr>
          <w:rFonts w:ascii="Arial" w:hAnsi="Arial" w:cs="Tahoma"/>
          <w:sz w:val="22"/>
          <w:szCs w:val="22"/>
        </w:rPr>
      </w:pPr>
    </w:p>
    <w:p w:rsidR="00EC7F63" w:rsidRPr="00720EBF" w:rsidRDefault="00EC7F63" w:rsidP="00374359">
      <w:pPr>
        <w:widowControl w:val="0"/>
        <w:autoSpaceDE w:val="0"/>
        <w:autoSpaceDN w:val="0"/>
        <w:adjustRightInd w:val="0"/>
        <w:spacing w:line="360" w:lineRule="auto"/>
        <w:ind w:left="720"/>
        <w:jc w:val="both"/>
        <w:rPr>
          <w:rFonts w:ascii="Arial" w:hAnsi="Arial" w:cs="Tahoma"/>
          <w:sz w:val="22"/>
          <w:szCs w:val="22"/>
        </w:rPr>
      </w:pPr>
      <w:r w:rsidRPr="00720EBF">
        <w:rPr>
          <w:rFonts w:ascii="Arial" w:hAnsi="Arial" w:cs="Tahoma"/>
          <w:sz w:val="22"/>
          <w:szCs w:val="22"/>
        </w:rPr>
        <w:t xml:space="preserve">a) What meanings do prospective teachers at primary and secondary levels in Ireland, Portugal and the </w:t>
      </w:r>
      <w:r w:rsidR="00B2085C" w:rsidRPr="00AD57C1">
        <w:rPr>
          <w:rFonts w:ascii="Arial" w:hAnsi="Arial" w:cs="Tahoma"/>
          <w:sz w:val="22"/>
          <w:szCs w:val="22"/>
        </w:rPr>
        <w:t>US</w:t>
      </w:r>
      <w:r w:rsidR="00AD57C1" w:rsidRPr="00AD57C1">
        <w:rPr>
          <w:rFonts w:ascii="Arial" w:hAnsi="Arial" w:cs="Tahoma"/>
          <w:sz w:val="22"/>
          <w:szCs w:val="22"/>
        </w:rPr>
        <w:t>A</w:t>
      </w:r>
      <w:r w:rsidRPr="00720EBF">
        <w:rPr>
          <w:rFonts w:ascii="Arial" w:hAnsi="Arial" w:cs="Tahoma"/>
          <w:sz w:val="22"/>
          <w:szCs w:val="22"/>
        </w:rPr>
        <w:t xml:space="preserve"> give to the term </w:t>
      </w:r>
      <w:r w:rsidR="00D64DFA" w:rsidRPr="00720EBF">
        <w:rPr>
          <w:rFonts w:ascii="Arial" w:hAnsi="Arial" w:cs="Tahoma"/>
          <w:sz w:val="22"/>
          <w:szCs w:val="22"/>
        </w:rPr>
        <w:t>‘</w:t>
      </w:r>
      <w:r w:rsidRPr="00720EBF">
        <w:rPr>
          <w:rFonts w:ascii="Arial" w:hAnsi="Arial" w:cs="Tahoma"/>
          <w:sz w:val="22"/>
          <w:szCs w:val="22"/>
        </w:rPr>
        <w:t>ratio</w:t>
      </w:r>
      <w:r w:rsidR="00D64DFA" w:rsidRPr="00720EBF">
        <w:rPr>
          <w:rFonts w:ascii="Arial" w:hAnsi="Arial" w:cs="Tahoma"/>
          <w:sz w:val="22"/>
          <w:szCs w:val="22"/>
        </w:rPr>
        <w:t>’</w:t>
      </w:r>
      <w:r w:rsidRPr="00720EBF">
        <w:rPr>
          <w:rFonts w:ascii="Arial" w:hAnsi="Arial" w:cs="Tahoma"/>
          <w:sz w:val="22"/>
          <w:szCs w:val="22"/>
        </w:rPr>
        <w:t>?</w:t>
      </w:r>
    </w:p>
    <w:p w:rsidR="00EC7F63" w:rsidRPr="00720EBF" w:rsidRDefault="00EC7F63" w:rsidP="00374359">
      <w:pPr>
        <w:widowControl w:val="0"/>
        <w:autoSpaceDE w:val="0"/>
        <w:autoSpaceDN w:val="0"/>
        <w:adjustRightInd w:val="0"/>
        <w:spacing w:line="360" w:lineRule="auto"/>
        <w:ind w:left="720"/>
        <w:jc w:val="both"/>
        <w:rPr>
          <w:rFonts w:ascii="Arial" w:hAnsi="Arial" w:cs="Tahoma"/>
          <w:sz w:val="22"/>
          <w:szCs w:val="22"/>
        </w:rPr>
      </w:pPr>
      <w:r w:rsidRPr="00720EBF">
        <w:rPr>
          <w:rFonts w:ascii="Arial" w:hAnsi="Arial" w:cs="Tahoma"/>
          <w:sz w:val="22"/>
          <w:szCs w:val="22"/>
        </w:rPr>
        <w:t xml:space="preserve">b) What multiple representations do these prospective teachers associate with the term </w:t>
      </w:r>
      <w:r w:rsidR="00D64DFA" w:rsidRPr="00720EBF">
        <w:rPr>
          <w:rFonts w:ascii="Arial" w:hAnsi="Arial" w:cs="Tahoma"/>
          <w:sz w:val="22"/>
          <w:szCs w:val="22"/>
        </w:rPr>
        <w:t>‘</w:t>
      </w:r>
      <w:r w:rsidRPr="00720EBF">
        <w:rPr>
          <w:rFonts w:ascii="Arial" w:hAnsi="Arial" w:cs="Tahoma"/>
          <w:sz w:val="22"/>
          <w:szCs w:val="22"/>
        </w:rPr>
        <w:t>ratio</w:t>
      </w:r>
      <w:r w:rsidR="00D64DFA" w:rsidRPr="00720EBF">
        <w:rPr>
          <w:rFonts w:ascii="Arial" w:hAnsi="Arial" w:cs="Tahoma"/>
          <w:sz w:val="22"/>
          <w:szCs w:val="22"/>
        </w:rPr>
        <w:t>’</w:t>
      </w:r>
      <w:r w:rsidRPr="00720EBF">
        <w:rPr>
          <w:rFonts w:ascii="Arial" w:hAnsi="Arial" w:cs="Tahoma"/>
          <w:sz w:val="22"/>
          <w:szCs w:val="22"/>
        </w:rPr>
        <w:t>?</w:t>
      </w:r>
    </w:p>
    <w:p w:rsidR="00EC7F63" w:rsidRPr="00720EBF" w:rsidRDefault="00EC7F63" w:rsidP="00374359">
      <w:pPr>
        <w:widowControl w:val="0"/>
        <w:autoSpaceDE w:val="0"/>
        <w:autoSpaceDN w:val="0"/>
        <w:adjustRightInd w:val="0"/>
        <w:spacing w:line="360" w:lineRule="auto"/>
        <w:ind w:left="720"/>
        <w:jc w:val="both"/>
        <w:rPr>
          <w:rFonts w:ascii="Arial" w:hAnsi="Arial" w:cs="Tahoma"/>
          <w:sz w:val="22"/>
          <w:szCs w:val="22"/>
        </w:rPr>
      </w:pPr>
      <w:r w:rsidRPr="00720EBF">
        <w:rPr>
          <w:rFonts w:ascii="Arial" w:hAnsi="Arial" w:cs="Tahoma"/>
          <w:sz w:val="22"/>
          <w:szCs w:val="22"/>
        </w:rPr>
        <w:t>c) Do the prospective teachers’ descriptive meaning</w:t>
      </w:r>
      <w:r w:rsidR="00E166C5" w:rsidRPr="00720EBF">
        <w:rPr>
          <w:rFonts w:ascii="Arial" w:hAnsi="Arial" w:cs="Tahoma"/>
          <w:sz w:val="22"/>
          <w:szCs w:val="22"/>
        </w:rPr>
        <w:t xml:space="preserve">s and representations indicate </w:t>
      </w:r>
      <w:r w:rsidRPr="00720EBF">
        <w:rPr>
          <w:rFonts w:ascii="Arial" w:hAnsi="Arial" w:cs="Tahoma"/>
          <w:sz w:val="22"/>
          <w:szCs w:val="22"/>
        </w:rPr>
        <w:t>different levels of understanding for teaching ratio?</w:t>
      </w:r>
    </w:p>
    <w:p w:rsidR="00EC7F63" w:rsidRPr="00720EBF" w:rsidRDefault="00EC7F63" w:rsidP="00374359">
      <w:pPr>
        <w:widowControl w:val="0"/>
        <w:autoSpaceDE w:val="0"/>
        <w:autoSpaceDN w:val="0"/>
        <w:adjustRightInd w:val="0"/>
        <w:spacing w:line="360" w:lineRule="auto"/>
        <w:jc w:val="both"/>
        <w:rPr>
          <w:rFonts w:ascii="Arial" w:hAnsi="Arial" w:cs="Tahoma"/>
          <w:sz w:val="22"/>
          <w:szCs w:val="22"/>
        </w:rPr>
      </w:pPr>
    </w:p>
    <w:p w:rsidR="00EC7F63" w:rsidRPr="00720EBF" w:rsidRDefault="00EC7F63" w:rsidP="00374359">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 xml:space="preserve">Once the questions were identified, we agreed on a methodology that would accommodate our various settings, research control boards of human subjects, and participants. </w:t>
      </w:r>
      <w:r w:rsidR="004E2540" w:rsidRPr="00720EBF">
        <w:rPr>
          <w:rFonts w:ascii="Arial" w:hAnsi="Arial" w:cs="Tahoma"/>
          <w:sz w:val="22"/>
          <w:szCs w:val="22"/>
        </w:rPr>
        <w:t xml:space="preserve"> This is described in the next section.</w:t>
      </w:r>
    </w:p>
    <w:p w:rsidR="00EC7F63" w:rsidRPr="00720EBF" w:rsidRDefault="00EC7F63" w:rsidP="00374359">
      <w:pPr>
        <w:widowControl w:val="0"/>
        <w:autoSpaceDE w:val="0"/>
        <w:autoSpaceDN w:val="0"/>
        <w:adjustRightInd w:val="0"/>
        <w:spacing w:line="360" w:lineRule="auto"/>
        <w:jc w:val="both"/>
        <w:rPr>
          <w:rFonts w:ascii="Arial" w:hAnsi="Arial" w:cs="Tahoma"/>
          <w:sz w:val="22"/>
          <w:szCs w:val="22"/>
        </w:rPr>
      </w:pPr>
    </w:p>
    <w:p w:rsidR="00EC7F63" w:rsidRPr="00720EBF" w:rsidRDefault="00EC7F63" w:rsidP="00374359">
      <w:pPr>
        <w:spacing w:line="360" w:lineRule="auto"/>
        <w:jc w:val="both"/>
        <w:rPr>
          <w:rFonts w:ascii="Arial" w:hAnsi="Arial" w:cs="Times New Roman"/>
          <w:b/>
          <w:sz w:val="22"/>
          <w:lang w:val="en-GB"/>
        </w:rPr>
      </w:pPr>
      <w:r w:rsidRPr="00720EBF">
        <w:rPr>
          <w:rFonts w:ascii="Arial" w:hAnsi="Arial" w:cs="Times New Roman"/>
          <w:b/>
          <w:sz w:val="22"/>
          <w:lang w:val="en-GB"/>
        </w:rPr>
        <w:t>Methodology</w:t>
      </w:r>
    </w:p>
    <w:p w:rsidR="004E2540" w:rsidRPr="00720EBF" w:rsidRDefault="00EC7F63" w:rsidP="000439F9">
      <w:pPr>
        <w:spacing w:line="360" w:lineRule="auto"/>
        <w:jc w:val="both"/>
        <w:rPr>
          <w:rFonts w:ascii="Arial" w:hAnsi="Arial" w:cs="Times New Roman"/>
          <w:sz w:val="22"/>
          <w:lang w:val="en-GB"/>
        </w:rPr>
      </w:pPr>
      <w:r w:rsidRPr="00720EBF">
        <w:rPr>
          <w:rFonts w:ascii="Arial" w:hAnsi="Arial" w:cs="Times New Roman"/>
          <w:sz w:val="22"/>
          <w:lang w:val="en-GB"/>
        </w:rPr>
        <w:t>A</w:t>
      </w:r>
      <w:r w:rsidR="00D8588E" w:rsidRPr="00720EBF">
        <w:rPr>
          <w:rFonts w:ascii="Arial" w:hAnsi="Arial" w:cs="Times New Roman"/>
          <w:sz w:val="22"/>
          <w:lang w:val="en-GB"/>
        </w:rPr>
        <w:t xml:space="preserve">s indicated above, the </w:t>
      </w:r>
      <w:r w:rsidR="00BC2DA0" w:rsidRPr="00720EBF">
        <w:rPr>
          <w:rFonts w:ascii="Arial" w:hAnsi="Arial" w:cs="Times New Roman"/>
          <w:sz w:val="22"/>
          <w:lang w:val="en-GB"/>
        </w:rPr>
        <w:t xml:space="preserve">four </w:t>
      </w:r>
      <w:r w:rsidR="00D8588E" w:rsidRPr="00720EBF">
        <w:rPr>
          <w:rFonts w:ascii="Arial" w:hAnsi="Arial" w:cs="Times New Roman"/>
          <w:sz w:val="22"/>
          <w:lang w:val="en-GB"/>
        </w:rPr>
        <w:t>a</w:t>
      </w:r>
      <w:r w:rsidRPr="00720EBF">
        <w:rPr>
          <w:rFonts w:ascii="Arial" w:hAnsi="Arial" w:cs="Times New Roman"/>
          <w:sz w:val="22"/>
          <w:lang w:val="en-GB"/>
        </w:rPr>
        <w:t>uthors met together during the</w:t>
      </w:r>
      <w:r w:rsidR="00D8588E" w:rsidRPr="00720EBF">
        <w:rPr>
          <w:rFonts w:ascii="Arial" w:hAnsi="Arial" w:cs="Times New Roman"/>
          <w:sz w:val="22"/>
          <w:lang w:val="en-GB"/>
        </w:rPr>
        <w:t xml:space="preserve"> Riga ATEE Conference, in 2011; they </w:t>
      </w:r>
      <w:r w:rsidRPr="00720EBF">
        <w:rPr>
          <w:rFonts w:ascii="Arial" w:hAnsi="Arial" w:cs="Times New Roman"/>
          <w:sz w:val="22"/>
          <w:lang w:val="en-GB"/>
        </w:rPr>
        <w:t xml:space="preserve">designed the research project, selected the data collection technique and prepared the data collection instrument. It was decided to collect data from </w:t>
      </w:r>
      <w:r w:rsidR="00D8588E" w:rsidRPr="00720EBF">
        <w:rPr>
          <w:rFonts w:ascii="Arial" w:hAnsi="Arial" w:cs="Times New Roman"/>
          <w:sz w:val="22"/>
          <w:lang w:val="en-GB"/>
        </w:rPr>
        <w:t xml:space="preserve">classes made up of, or attended chiefly by, </w:t>
      </w:r>
      <w:r w:rsidRPr="00720EBF">
        <w:rPr>
          <w:rFonts w:ascii="Arial" w:hAnsi="Arial" w:cs="Times New Roman"/>
          <w:sz w:val="22"/>
          <w:lang w:val="en-GB"/>
        </w:rPr>
        <w:t xml:space="preserve">prospective teachers in </w:t>
      </w:r>
      <w:r w:rsidR="00BC2DA0" w:rsidRPr="00720EBF">
        <w:rPr>
          <w:rFonts w:ascii="Arial" w:hAnsi="Arial" w:cs="Times New Roman"/>
          <w:sz w:val="22"/>
          <w:lang w:val="en-GB"/>
        </w:rPr>
        <w:t>their four institutions, as these</w:t>
      </w:r>
      <w:r w:rsidRPr="00720EBF">
        <w:rPr>
          <w:rFonts w:ascii="Arial" w:hAnsi="Arial" w:cs="Times New Roman"/>
          <w:sz w:val="22"/>
          <w:lang w:val="en-GB"/>
        </w:rPr>
        <w:t xml:space="preserve"> were easily available to researchers and </w:t>
      </w:r>
      <w:r w:rsidR="00C30E31" w:rsidRPr="00720EBF">
        <w:rPr>
          <w:rFonts w:ascii="Arial" w:hAnsi="Arial" w:cs="Times New Roman"/>
          <w:sz w:val="22"/>
          <w:lang w:val="en-GB"/>
        </w:rPr>
        <w:t>were judged</w:t>
      </w:r>
      <w:r w:rsidRPr="00720EBF">
        <w:rPr>
          <w:rFonts w:ascii="Arial" w:hAnsi="Arial" w:cs="Times New Roman"/>
          <w:sz w:val="22"/>
          <w:lang w:val="en-GB"/>
        </w:rPr>
        <w:t xml:space="preserve"> appropriate </w:t>
      </w:r>
      <w:r w:rsidR="00C30E31" w:rsidRPr="00720EBF">
        <w:rPr>
          <w:rFonts w:ascii="Arial" w:hAnsi="Arial" w:cs="Times New Roman"/>
          <w:sz w:val="22"/>
          <w:lang w:val="en-GB"/>
        </w:rPr>
        <w:t>for fulfilling</w:t>
      </w:r>
      <w:r w:rsidRPr="00720EBF">
        <w:rPr>
          <w:rFonts w:ascii="Arial" w:hAnsi="Arial" w:cs="Times New Roman"/>
          <w:sz w:val="22"/>
          <w:lang w:val="en-GB"/>
        </w:rPr>
        <w:t xml:space="preserve"> the research objective</w:t>
      </w:r>
      <w:r w:rsidR="00D8588E" w:rsidRPr="00720EBF">
        <w:rPr>
          <w:rFonts w:ascii="Arial" w:hAnsi="Arial" w:cs="Times New Roman"/>
          <w:sz w:val="22"/>
          <w:lang w:val="en-GB"/>
        </w:rPr>
        <w:t>s</w:t>
      </w:r>
      <w:r w:rsidRPr="00720EBF">
        <w:rPr>
          <w:rFonts w:ascii="Arial" w:hAnsi="Arial" w:cs="Times New Roman"/>
          <w:sz w:val="22"/>
          <w:lang w:val="en-GB"/>
        </w:rPr>
        <w:t xml:space="preserve"> settled for this paper. </w:t>
      </w:r>
      <w:r w:rsidR="003662F2" w:rsidRPr="00720EBF">
        <w:rPr>
          <w:rFonts w:ascii="Arial" w:hAnsi="Arial" w:cs="Times New Roman"/>
          <w:sz w:val="22"/>
          <w:lang w:val="en-GB"/>
        </w:rPr>
        <w:t xml:space="preserve">Some of the classes catered chiefly for prospective primary teachers, for whom mathematics and science education were only two strands among many in their teacher education programmes. Other classes catered for prospective secondary teachers, chiefly those </w:t>
      </w:r>
      <w:r w:rsidR="00BC2DA0" w:rsidRPr="00720EBF">
        <w:rPr>
          <w:rFonts w:ascii="Arial" w:hAnsi="Arial" w:cs="Times New Roman"/>
          <w:sz w:val="22"/>
          <w:lang w:val="en-GB"/>
        </w:rPr>
        <w:t>choosing</w:t>
      </w:r>
      <w:r w:rsidR="003662F2" w:rsidRPr="00720EBF">
        <w:rPr>
          <w:rFonts w:ascii="Arial" w:hAnsi="Arial" w:cs="Times New Roman"/>
          <w:sz w:val="22"/>
          <w:lang w:val="en-GB"/>
        </w:rPr>
        <w:t xml:space="preserve"> mathematics or science as a major or minor second-level teaching subject.</w:t>
      </w:r>
    </w:p>
    <w:p w:rsidR="004E2540" w:rsidRPr="00720EBF" w:rsidRDefault="004E2540" w:rsidP="000439F9">
      <w:pPr>
        <w:spacing w:line="360" w:lineRule="auto"/>
        <w:jc w:val="both"/>
        <w:rPr>
          <w:rFonts w:ascii="Arial" w:hAnsi="Arial" w:cs="Times New Roman"/>
          <w:sz w:val="22"/>
          <w:lang w:val="en-GB"/>
        </w:rPr>
      </w:pPr>
    </w:p>
    <w:p w:rsidR="00D8588E" w:rsidRPr="00720EBF" w:rsidRDefault="00EC7F63" w:rsidP="000439F9">
      <w:pPr>
        <w:spacing w:line="360" w:lineRule="auto"/>
        <w:jc w:val="both"/>
        <w:rPr>
          <w:rFonts w:ascii="Arial" w:hAnsi="Arial" w:cs="Times New Roman"/>
          <w:sz w:val="22"/>
          <w:lang w:val="en-GB"/>
        </w:rPr>
      </w:pPr>
      <w:r w:rsidRPr="00720EBF">
        <w:rPr>
          <w:rFonts w:ascii="Arial" w:hAnsi="Arial" w:cs="Times New Roman"/>
          <w:sz w:val="22"/>
          <w:lang w:val="en-GB"/>
        </w:rPr>
        <w:t>As data were to be collected in three d</w:t>
      </w:r>
      <w:r w:rsidR="000439F9" w:rsidRPr="00720EBF">
        <w:rPr>
          <w:rFonts w:ascii="Arial" w:hAnsi="Arial" w:cs="Times New Roman"/>
          <w:sz w:val="22"/>
          <w:lang w:val="en-GB"/>
        </w:rPr>
        <w:t>ifferent countries (two English-</w:t>
      </w:r>
      <w:r w:rsidRPr="00720EBF">
        <w:rPr>
          <w:rFonts w:ascii="Arial" w:hAnsi="Arial" w:cs="Times New Roman"/>
          <w:sz w:val="22"/>
          <w:lang w:val="en-GB"/>
        </w:rPr>
        <w:t xml:space="preserve">speaking but still with some English language </w:t>
      </w:r>
      <w:r w:rsidR="000439F9" w:rsidRPr="00720EBF">
        <w:rPr>
          <w:rFonts w:ascii="Arial" w:hAnsi="Arial" w:cs="Times New Roman"/>
          <w:sz w:val="22"/>
          <w:lang w:val="en-GB"/>
        </w:rPr>
        <w:t>variations, and a Portuguese-</w:t>
      </w:r>
      <w:r w:rsidRPr="00720EBF">
        <w:rPr>
          <w:rFonts w:ascii="Arial" w:hAnsi="Arial" w:cs="Times New Roman"/>
          <w:sz w:val="22"/>
          <w:lang w:val="en-GB"/>
        </w:rPr>
        <w:t xml:space="preserve">speaking country), </w:t>
      </w:r>
      <w:r w:rsidR="00C30E31" w:rsidRPr="00720EBF">
        <w:rPr>
          <w:rFonts w:ascii="Arial" w:hAnsi="Arial" w:cs="Times New Roman"/>
          <w:sz w:val="22"/>
          <w:lang w:val="en-GB"/>
        </w:rPr>
        <w:t xml:space="preserve">the </w:t>
      </w:r>
      <w:r w:rsidRPr="00720EBF">
        <w:rPr>
          <w:rFonts w:ascii="Arial" w:hAnsi="Arial" w:cs="Times New Roman"/>
          <w:sz w:val="22"/>
          <w:lang w:val="en-GB"/>
        </w:rPr>
        <w:t>authors chose t</w:t>
      </w:r>
      <w:r w:rsidR="004C42B9" w:rsidRPr="00720EBF">
        <w:rPr>
          <w:rFonts w:ascii="Arial" w:hAnsi="Arial" w:cs="Times New Roman"/>
          <w:sz w:val="22"/>
          <w:lang w:val="en-GB"/>
        </w:rPr>
        <w:t xml:space="preserve">he questionnaire technique. </w:t>
      </w:r>
      <w:r w:rsidR="003662F2" w:rsidRPr="00720EBF">
        <w:rPr>
          <w:rFonts w:ascii="Arial" w:hAnsi="Arial" w:cs="Times New Roman"/>
          <w:sz w:val="22"/>
          <w:lang w:val="en-GB"/>
        </w:rPr>
        <w:t xml:space="preserve">This </w:t>
      </w:r>
      <w:r w:rsidRPr="00720EBF">
        <w:rPr>
          <w:rFonts w:ascii="Arial" w:hAnsi="Arial" w:cs="Times New Roman"/>
          <w:sz w:val="22"/>
          <w:lang w:val="en-GB"/>
        </w:rPr>
        <w:t xml:space="preserve">makes it easier to minimize language differences than </w:t>
      </w:r>
      <w:r w:rsidR="00C30E31" w:rsidRPr="00720EBF">
        <w:rPr>
          <w:rFonts w:ascii="Arial" w:hAnsi="Arial" w:cs="Times New Roman"/>
          <w:sz w:val="22"/>
          <w:lang w:val="en-GB"/>
        </w:rPr>
        <w:t>conducting interviews</w:t>
      </w:r>
      <w:r w:rsidRPr="00720EBF">
        <w:rPr>
          <w:rFonts w:ascii="Arial" w:hAnsi="Arial" w:cs="Times New Roman"/>
          <w:sz w:val="22"/>
          <w:lang w:val="en-GB"/>
        </w:rPr>
        <w:t xml:space="preserve"> would do.</w:t>
      </w:r>
    </w:p>
    <w:p w:rsidR="00EC7F63" w:rsidRPr="00720EBF" w:rsidRDefault="00EC7F63" w:rsidP="000439F9">
      <w:pPr>
        <w:spacing w:line="360" w:lineRule="auto"/>
        <w:jc w:val="both"/>
        <w:rPr>
          <w:rFonts w:ascii="Arial" w:hAnsi="Arial" w:cs="Times New Roman"/>
          <w:sz w:val="22"/>
          <w:lang w:val="en-GB"/>
        </w:rPr>
      </w:pPr>
    </w:p>
    <w:p w:rsidR="00EC7F63" w:rsidRPr="00720EBF" w:rsidRDefault="00EC7F63" w:rsidP="000439F9">
      <w:pPr>
        <w:spacing w:line="360" w:lineRule="auto"/>
        <w:jc w:val="both"/>
        <w:rPr>
          <w:rFonts w:ascii="Arial" w:hAnsi="Arial" w:cs="Times New Roman"/>
          <w:sz w:val="22"/>
          <w:lang w:val="en-GB"/>
        </w:rPr>
      </w:pPr>
      <w:r w:rsidRPr="00720EBF">
        <w:rPr>
          <w:rFonts w:ascii="Arial" w:hAnsi="Arial" w:cs="Times New Roman"/>
          <w:sz w:val="22"/>
          <w:lang w:val="en-GB"/>
        </w:rPr>
        <w:t xml:space="preserve">Then, the authors prepared a questionnaire with five </w:t>
      </w:r>
      <w:r w:rsidR="000439F9" w:rsidRPr="00720EBF">
        <w:rPr>
          <w:rFonts w:ascii="Arial" w:hAnsi="Arial" w:cs="Times New Roman"/>
          <w:sz w:val="22"/>
          <w:lang w:val="en-GB"/>
        </w:rPr>
        <w:t>items</w:t>
      </w:r>
      <w:r w:rsidRPr="00720EBF">
        <w:rPr>
          <w:rFonts w:ascii="Arial" w:hAnsi="Arial" w:cs="Times New Roman"/>
          <w:sz w:val="22"/>
          <w:lang w:val="en-GB"/>
        </w:rPr>
        <w:t xml:space="preserve"> focusing on the ratio concept:</w:t>
      </w:r>
    </w:p>
    <w:p w:rsidR="00EC7F63" w:rsidRPr="00720EBF" w:rsidRDefault="000439F9" w:rsidP="000439F9">
      <w:pPr>
        <w:spacing w:line="360" w:lineRule="auto"/>
        <w:ind w:left="993" w:hanging="633"/>
        <w:jc w:val="both"/>
        <w:rPr>
          <w:rFonts w:ascii="Arial" w:hAnsi="Arial" w:cs="Times New Roman"/>
          <w:sz w:val="22"/>
          <w:lang w:val="en-GB"/>
        </w:rPr>
      </w:pPr>
      <w:r w:rsidRPr="00720EBF">
        <w:rPr>
          <w:rFonts w:ascii="Arial" w:hAnsi="Arial" w:cs="Times New Roman"/>
          <w:sz w:val="22"/>
          <w:lang w:val="en-GB"/>
        </w:rPr>
        <w:t xml:space="preserve">1. </w:t>
      </w:r>
      <w:r w:rsidRPr="00720EBF">
        <w:rPr>
          <w:rFonts w:ascii="Arial" w:hAnsi="Arial" w:cs="Times New Roman"/>
          <w:sz w:val="22"/>
          <w:lang w:val="en-GB"/>
        </w:rPr>
        <w:tab/>
      </w:r>
      <w:r w:rsidR="00EC7F63" w:rsidRPr="00720EBF">
        <w:rPr>
          <w:rFonts w:ascii="Arial" w:hAnsi="Arial" w:cs="Times New Roman"/>
          <w:sz w:val="22"/>
          <w:lang w:val="en-GB"/>
        </w:rPr>
        <w:t>What does the term ratio means to you?</w:t>
      </w:r>
    </w:p>
    <w:p w:rsidR="00EC7F63" w:rsidRPr="00720EBF" w:rsidRDefault="000439F9" w:rsidP="000439F9">
      <w:pPr>
        <w:spacing w:line="360" w:lineRule="auto"/>
        <w:ind w:left="993" w:hanging="633"/>
        <w:jc w:val="both"/>
        <w:rPr>
          <w:rFonts w:ascii="Arial" w:hAnsi="Arial" w:cs="Times New Roman"/>
          <w:sz w:val="22"/>
          <w:lang w:val="en-GB"/>
        </w:rPr>
      </w:pPr>
      <w:r w:rsidRPr="00720EBF">
        <w:rPr>
          <w:rFonts w:ascii="Arial" w:hAnsi="Arial" w:cs="Times New Roman"/>
          <w:sz w:val="22"/>
          <w:lang w:val="en-GB"/>
        </w:rPr>
        <w:t>2a.</w:t>
      </w:r>
      <w:r w:rsidRPr="00720EBF">
        <w:rPr>
          <w:rFonts w:ascii="Arial" w:hAnsi="Arial" w:cs="Times New Roman"/>
          <w:sz w:val="22"/>
          <w:lang w:val="en-GB"/>
        </w:rPr>
        <w:tab/>
      </w:r>
      <w:r w:rsidR="00EC7F63" w:rsidRPr="00720EBF">
        <w:rPr>
          <w:rFonts w:ascii="Arial" w:hAnsi="Arial" w:cs="Times New Roman"/>
          <w:sz w:val="22"/>
          <w:lang w:val="en-GB"/>
        </w:rPr>
        <w:t>When do you use ratios?</w:t>
      </w:r>
    </w:p>
    <w:p w:rsidR="00EC7F63" w:rsidRPr="00720EBF" w:rsidRDefault="000439F9" w:rsidP="000439F9">
      <w:pPr>
        <w:spacing w:line="360" w:lineRule="auto"/>
        <w:ind w:left="993" w:hanging="633"/>
        <w:jc w:val="both"/>
        <w:rPr>
          <w:rFonts w:ascii="Arial" w:hAnsi="Arial" w:cs="Times New Roman"/>
          <w:sz w:val="22"/>
          <w:lang w:val="en-GB"/>
        </w:rPr>
      </w:pPr>
      <w:r w:rsidRPr="00720EBF">
        <w:rPr>
          <w:rFonts w:ascii="Arial" w:hAnsi="Arial" w:cs="Times New Roman"/>
          <w:sz w:val="22"/>
          <w:lang w:val="en-GB"/>
        </w:rPr>
        <w:t>2b.</w:t>
      </w:r>
      <w:r w:rsidRPr="00720EBF">
        <w:rPr>
          <w:rFonts w:ascii="Arial" w:hAnsi="Arial" w:cs="Times New Roman"/>
          <w:sz w:val="22"/>
          <w:lang w:val="en-GB"/>
        </w:rPr>
        <w:tab/>
      </w:r>
      <w:r w:rsidR="00EC7F63" w:rsidRPr="00720EBF">
        <w:rPr>
          <w:rFonts w:ascii="Arial" w:hAnsi="Arial" w:cs="Times New Roman"/>
          <w:sz w:val="22"/>
          <w:lang w:val="en-GB"/>
        </w:rPr>
        <w:t>Who else uses ratios?</w:t>
      </w:r>
    </w:p>
    <w:p w:rsidR="00EC7F63" w:rsidRPr="00720EBF" w:rsidRDefault="000439F9" w:rsidP="000439F9">
      <w:pPr>
        <w:spacing w:line="360" w:lineRule="auto"/>
        <w:ind w:left="993" w:hanging="633"/>
        <w:jc w:val="both"/>
        <w:rPr>
          <w:rFonts w:ascii="Arial" w:hAnsi="Arial" w:cs="Times New Roman"/>
          <w:sz w:val="22"/>
          <w:lang w:val="en-GB"/>
        </w:rPr>
      </w:pPr>
      <w:r w:rsidRPr="00720EBF">
        <w:rPr>
          <w:rFonts w:ascii="Arial" w:hAnsi="Arial" w:cs="Times New Roman"/>
          <w:sz w:val="22"/>
          <w:lang w:val="en-GB"/>
        </w:rPr>
        <w:t>3.</w:t>
      </w:r>
      <w:r w:rsidRPr="00720EBF">
        <w:rPr>
          <w:rFonts w:ascii="Arial" w:hAnsi="Arial" w:cs="Times New Roman"/>
          <w:sz w:val="22"/>
          <w:lang w:val="en-GB"/>
        </w:rPr>
        <w:tab/>
      </w:r>
      <w:r w:rsidR="00EC7F63" w:rsidRPr="00720EBF">
        <w:rPr>
          <w:rFonts w:ascii="Arial" w:hAnsi="Arial" w:cs="Times New Roman"/>
          <w:sz w:val="22"/>
          <w:lang w:val="en-GB"/>
        </w:rPr>
        <w:t>How do you represent a ratio using mathematical symbols?</w:t>
      </w:r>
    </w:p>
    <w:p w:rsidR="00EC7F63" w:rsidRPr="00720EBF" w:rsidRDefault="000439F9" w:rsidP="000439F9">
      <w:pPr>
        <w:spacing w:line="360" w:lineRule="auto"/>
        <w:ind w:left="993" w:hanging="633"/>
        <w:jc w:val="both"/>
        <w:rPr>
          <w:rFonts w:ascii="Arial" w:hAnsi="Arial" w:cs="Times New Roman"/>
          <w:sz w:val="22"/>
          <w:lang w:val="en-GB"/>
        </w:rPr>
      </w:pPr>
      <w:r w:rsidRPr="00720EBF">
        <w:rPr>
          <w:rFonts w:ascii="Arial" w:hAnsi="Arial" w:cs="Times New Roman"/>
          <w:sz w:val="22"/>
          <w:lang w:val="en-GB"/>
        </w:rPr>
        <w:t>4.</w:t>
      </w:r>
      <w:r w:rsidRPr="00720EBF">
        <w:rPr>
          <w:rFonts w:ascii="Arial" w:hAnsi="Arial" w:cs="Times New Roman"/>
          <w:sz w:val="22"/>
          <w:lang w:val="en-GB"/>
        </w:rPr>
        <w:tab/>
      </w:r>
      <w:r w:rsidR="00EC7F63" w:rsidRPr="00720EBF">
        <w:rPr>
          <w:rFonts w:ascii="Arial" w:hAnsi="Arial" w:cs="Times New Roman"/>
          <w:sz w:val="22"/>
          <w:lang w:val="en-GB"/>
        </w:rPr>
        <w:t>Draw several represe</w:t>
      </w:r>
      <w:r w:rsidRPr="00720EBF">
        <w:rPr>
          <w:rFonts w:ascii="Arial" w:hAnsi="Arial" w:cs="Times New Roman"/>
          <w:sz w:val="22"/>
          <w:lang w:val="en-GB"/>
        </w:rPr>
        <w:t>ntations of how ratios are used</w:t>
      </w:r>
    </w:p>
    <w:p w:rsidR="00DB0457" w:rsidRPr="00720EBF" w:rsidRDefault="00EC7F63" w:rsidP="000439F9">
      <w:pPr>
        <w:spacing w:line="360" w:lineRule="auto"/>
        <w:jc w:val="both"/>
        <w:rPr>
          <w:rFonts w:ascii="Arial" w:hAnsi="Arial" w:cs="Times New Roman"/>
          <w:sz w:val="22"/>
          <w:lang w:val="en-GB"/>
        </w:rPr>
      </w:pPr>
      <w:r w:rsidRPr="00720EBF">
        <w:rPr>
          <w:rFonts w:ascii="Arial" w:hAnsi="Arial" w:cs="Times New Roman"/>
          <w:sz w:val="22"/>
          <w:lang w:val="en-GB"/>
        </w:rPr>
        <w:t xml:space="preserve">Afterwards, three versions (for USA, Ireland and Portugal) were prepared. The questionnaires were anonymous but they ask respondents to give some information on the school level and the school subject </w:t>
      </w:r>
      <w:r w:rsidR="00DD414F">
        <w:rPr>
          <w:rFonts w:ascii="Arial" w:hAnsi="Arial" w:cs="Times New Roman"/>
          <w:sz w:val="22"/>
          <w:lang w:val="en-GB"/>
        </w:rPr>
        <w:t>that</w:t>
      </w:r>
      <w:r w:rsidR="00362F76" w:rsidRPr="00720EBF">
        <w:rPr>
          <w:rFonts w:ascii="Arial" w:hAnsi="Arial" w:cs="Times New Roman"/>
          <w:sz w:val="22"/>
          <w:lang w:val="en-GB"/>
        </w:rPr>
        <w:t xml:space="preserve"> they were preparing to teach</w:t>
      </w:r>
      <w:r w:rsidR="00D8588E" w:rsidRPr="00720EBF">
        <w:rPr>
          <w:rFonts w:ascii="Arial" w:hAnsi="Arial" w:cs="Times New Roman"/>
          <w:sz w:val="22"/>
          <w:lang w:val="en-GB"/>
        </w:rPr>
        <w:t xml:space="preserve">.  To facilitate administration, the questions were arranged on a sheet of A4 (European) or Letter size (USA) paper as shown in Fig. 1.  It was envisaged that they could be completed in a short period, say </w:t>
      </w:r>
      <w:r w:rsidR="00C8157B">
        <w:rPr>
          <w:rFonts w:ascii="Arial" w:hAnsi="Arial" w:cs="Times New Roman"/>
          <w:sz w:val="22"/>
          <w:lang w:val="en-GB"/>
        </w:rPr>
        <w:t>ten</w:t>
      </w:r>
      <w:r w:rsidR="00D8588E" w:rsidRPr="00720EBF">
        <w:rPr>
          <w:rFonts w:ascii="Arial" w:hAnsi="Arial" w:cs="Times New Roman"/>
          <w:sz w:val="22"/>
          <w:lang w:val="en-GB"/>
        </w:rPr>
        <w:t xml:space="preserve"> minutes at the end of a lecture.  This would not unduly disrupt the running of the class. </w:t>
      </w:r>
    </w:p>
    <w:p w:rsidR="003662F2" w:rsidRPr="008750B8" w:rsidRDefault="008750B8" w:rsidP="008750B8">
      <w:pPr>
        <w:spacing w:line="360" w:lineRule="auto"/>
        <w:jc w:val="center"/>
        <w:rPr>
          <w:rFonts w:ascii="Arial" w:hAnsi="Arial"/>
          <w:b/>
          <w:sz w:val="22"/>
        </w:rPr>
      </w:pPr>
      <w:r w:rsidRPr="00720EBF">
        <w:rPr>
          <w:rFonts w:ascii="Arial" w:hAnsi="Arial"/>
          <w:b/>
          <w:sz w:val="22"/>
        </w:rPr>
        <w:t xml:space="preserve">Fig. 1:  </w:t>
      </w:r>
      <w:r w:rsidRPr="00720EBF">
        <w:rPr>
          <w:rFonts w:ascii="Arial" w:hAnsi="Arial"/>
          <w:sz w:val="22"/>
        </w:rPr>
        <w:t>Layout of the questionnaire</w:t>
      </w:r>
    </w:p>
    <w:p w:rsidR="00EC7F63" w:rsidRPr="00720EBF" w:rsidRDefault="008750B8" w:rsidP="008750B8">
      <w:pPr>
        <w:spacing w:line="360" w:lineRule="auto"/>
        <w:jc w:val="center"/>
        <w:rPr>
          <w:rFonts w:ascii="Arial" w:hAnsi="Arial" w:cs="Times New Roman"/>
          <w:sz w:val="22"/>
          <w:lang w:val="en-GB"/>
        </w:rPr>
      </w:pPr>
      <w:r w:rsidRPr="008750B8">
        <w:rPr>
          <w:rFonts w:ascii="Arial" w:hAnsi="Arial" w:cs="Times New Roman"/>
          <w:sz w:val="22"/>
          <w:lang w:val="en-GB"/>
        </w:rPr>
        <w:drawing>
          <wp:inline distT="0" distB="0" distL="0" distR="0">
            <wp:extent cx="3515242" cy="2509283"/>
            <wp:effectExtent l="25400" t="0" r="0" b="0"/>
            <wp:docPr id="2" name="O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3143" cy="5261429"/>
                      <a:chOff x="1124857" y="436393"/>
                      <a:chExt cx="7003143" cy="5261429"/>
                    </a:xfrm>
                  </a:grpSpPr>
                  <a:sp>
                    <a:nvSpPr>
                      <a:cNvPr id="4" name="Rectangle 3"/>
                      <a:cNvSpPr/>
                    </a:nvSpPr>
                    <a:spPr>
                      <a:xfrm>
                        <a:off x="1124857" y="436393"/>
                        <a:ext cx="7003143" cy="5261429"/>
                      </a:xfrm>
                      <a:prstGeom prst="rect">
                        <a:avLst/>
                      </a:prstGeom>
                      <a:solidFill>
                        <a:schemeClr val="accent6">
                          <a:lumMod val="40000"/>
                          <a:lumOff val="60000"/>
                        </a:schemeClr>
                      </a:solidFill>
                      <a:ln>
                        <a:solidFill>
                          <a:schemeClr val="tx1"/>
                        </a:solidFill>
                      </a:ln>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dirty="0"/>
                        </a:p>
                      </a:txBody>
                      <a:useSpRect/>
                    </a:txSp>
                    <a:style>
                      <a:lnRef idx="1">
                        <a:schemeClr val="accent1"/>
                      </a:lnRef>
                      <a:fillRef idx="3">
                        <a:schemeClr val="accent1"/>
                      </a:fillRef>
                      <a:effectRef idx="2">
                        <a:schemeClr val="accent1"/>
                      </a:effectRef>
                      <a:fontRef idx="minor">
                        <a:schemeClr val="lt1"/>
                      </a:fontRef>
                    </a:style>
                  </a:sp>
                  <a:cxnSp>
                    <a:nvCxnSpPr>
                      <a:cNvPr id="6" name="Straight Connector 5"/>
                      <a:cNvCxnSpPr/>
                    </a:nvCxnSpPr>
                    <a:spPr>
                      <a:xfrm>
                        <a:off x="1269997" y="1325393"/>
                        <a:ext cx="6712857" cy="1588"/>
                      </a:xfrm>
                      <a:prstGeom prst="line">
                        <a:avLst/>
                      </a:prstGeom>
                      <a:ln>
                        <a:solidFill>
                          <a:srgbClr val="000000"/>
                        </a:solidFill>
                      </a:ln>
                    </a:spPr>
                    <a:style>
                      <a:lnRef idx="2">
                        <a:schemeClr val="accent1"/>
                      </a:lnRef>
                      <a:fillRef idx="0">
                        <a:schemeClr val="accent1"/>
                      </a:fillRef>
                      <a:effectRef idx="1">
                        <a:schemeClr val="accent1"/>
                      </a:effectRef>
                      <a:fontRef idx="minor">
                        <a:schemeClr val="tx1"/>
                      </a:fontRef>
                    </a:style>
                  </a:cxnSp>
                  <a:cxnSp>
                    <a:nvCxnSpPr>
                      <a:cNvPr id="9" name="Straight Connector 8"/>
                      <a:cNvCxnSpPr/>
                    </a:nvCxnSpPr>
                    <a:spPr>
                      <a:xfrm rot="5400000">
                        <a:off x="3111501" y="3021750"/>
                        <a:ext cx="2775857" cy="1588"/>
                      </a:xfrm>
                      <a:prstGeom prst="line">
                        <a:avLst/>
                      </a:prstGeom>
                      <a:ln w="3175"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1" name="Straight Connector 10"/>
                      <a:cNvCxnSpPr/>
                    </a:nvCxnSpPr>
                    <a:spPr>
                      <a:xfrm>
                        <a:off x="1868714" y="3139679"/>
                        <a:ext cx="5424715" cy="1588"/>
                      </a:xfrm>
                      <a:prstGeom prst="line">
                        <a:avLst/>
                      </a:prstGeom>
                      <a:ln w="3175" cap="flat" cmpd="sng" algn="ctr">
                        <a:solidFill>
                          <a:srgbClr val="000000"/>
                        </a:solidFill>
                        <a:prstDash val="solid"/>
                        <a:round/>
                        <a:headEnd type="none" w="med" len="med"/>
                        <a:tailEnd type="none" w="med" len="med"/>
                      </a:ln>
                    </a:spPr>
                    <a:style>
                      <a:lnRef idx="2">
                        <a:schemeClr val="accent1"/>
                      </a:lnRef>
                      <a:fillRef idx="0">
                        <a:schemeClr val="accent1"/>
                      </a:fillRef>
                      <a:effectRef idx="1">
                        <a:schemeClr val="accent1"/>
                      </a:effectRef>
                      <a:fontRef idx="minor">
                        <a:schemeClr val="tx1"/>
                      </a:fontRef>
                    </a:style>
                  </a:cxnSp>
                  <a:cxnSp>
                    <a:nvCxnSpPr>
                      <a:cNvPr id="12" name="Straight Connector 11"/>
                      <a:cNvCxnSpPr/>
                    </a:nvCxnSpPr>
                    <a:spPr>
                      <a:xfrm>
                        <a:off x="1269999" y="4916091"/>
                        <a:ext cx="6712857" cy="1588"/>
                      </a:xfrm>
                      <a:prstGeom prst="line">
                        <a:avLst/>
                      </a:prstGeom>
                      <a:ln>
                        <a:solidFill>
                          <a:srgbClr val="000000"/>
                        </a:solidFill>
                      </a:ln>
                    </a:spPr>
                    <a:style>
                      <a:lnRef idx="2">
                        <a:schemeClr val="accent1"/>
                      </a:lnRef>
                      <a:fillRef idx="0">
                        <a:schemeClr val="accent1"/>
                      </a:fillRef>
                      <a:effectRef idx="1">
                        <a:schemeClr val="accent1"/>
                      </a:effectRef>
                      <a:fontRef idx="minor">
                        <a:schemeClr val="tx1"/>
                      </a:fontRef>
                    </a:style>
                  </a:cxnSp>
                  <a:sp>
                    <a:nvSpPr>
                      <a:cNvPr id="13" name="TextBox 12"/>
                      <a:cNvSpPr txBox="1"/>
                    </a:nvSpPr>
                    <a:spPr>
                      <a:xfrm>
                        <a:off x="1269997" y="596441"/>
                        <a:ext cx="5424715"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400" dirty="0" smtClean="0">
                              <a:latin typeface="Times New Roman"/>
                            </a:rPr>
                            <a:t>Introduction / explanation</a:t>
                          </a:r>
                          <a:endParaRPr lang="en-US" sz="2400" dirty="0">
                            <a:latin typeface="Times New Roman"/>
                          </a:endParaRPr>
                        </a:p>
                      </a:txBody>
                      <a:useSpRect/>
                    </a:txSp>
                  </a:sp>
                  <a:sp>
                    <a:nvSpPr>
                      <a:cNvPr id="15" name="TextBox 14"/>
                      <a:cNvSpPr txBox="1"/>
                    </a:nvSpPr>
                    <a:spPr>
                      <a:xfrm>
                        <a:off x="1433286" y="1525757"/>
                        <a:ext cx="1143001" cy="4001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000" dirty="0" smtClean="0">
                              <a:latin typeface="Times New Roman"/>
                            </a:rPr>
                            <a:t>Qu. 1</a:t>
                          </a:r>
                          <a:endParaRPr lang="en-US" sz="2000" dirty="0">
                            <a:latin typeface="Times New Roman"/>
                          </a:endParaRPr>
                        </a:p>
                      </a:txBody>
                      <a:useSpRect/>
                    </a:txSp>
                  </a:sp>
                  <a:sp>
                    <a:nvSpPr>
                      <a:cNvPr id="17" name="TextBox 16"/>
                      <a:cNvSpPr txBox="1"/>
                    </a:nvSpPr>
                    <a:spPr>
                      <a:xfrm>
                        <a:off x="4753428" y="1507614"/>
                        <a:ext cx="1596571" cy="4001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000" dirty="0" smtClean="0">
                              <a:latin typeface="Times New Roman"/>
                            </a:rPr>
                            <a:t>Qu. 2a</a:t>
                          </a:r>
                          <a:endParaRPr lang="en-US" sz="2000" dirty="0">
                            <a:latin typeface="Times New Roman"/>
                          </a:endParaRPr>
                        </a:p>
                      </a:txBody>
                      <a:useSpRect/>
                    </a:txSp>
                  </a:sp>
                  <a:sp>
                    <a:nvSpPr>
                      <a:cNvPr id="18" name="TextBox 17"/>
                      <a:cNvSpPr txBox="1"/>
                    </a:nvSpPr>
                    <a:spPr>
                      <a:xfrm>
                        <a:off x="4753429" y="2232534"/>
                        <a:ext cx="979714" cy="4001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000" dirty="0" smtClean="0">
                              <a:latin typeface="Times New Roman"/>
                            </a:rPr>
                            <a:t>Qu. 2b</a:t>
                          </a:r>
                          <a:endParaRPr lang="en-US" sz="2000" dirty="0">
                            <a:latin typeface="Times New Roman"/>
                          </a:endParaRPr>
                        </a:p>
                      </a:txBody>
                      <a:useSpRect/>
                    </a:txSp>
                  </a:sp>
                  <a:sp>
                    <a:nvSpPr>
                      <a:cNvPr id="19" name="TextBox 18"/>
                      <a:cNvSpPr txBox="1"/>
                    </a:nvSpPr>
                    <a:spPr>
                      <a:xfrm>
                        <a:off x="1451428" y="3321105"/>
                        <a:ext cx="1143001" cy="4001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000" dirty="0" smtClean="0">
                              <a:latin typeface="Times New Roman"/>
                            </a:rPr>
                            <a:t>Qu. 3</a:t>
                          </a:r>
                          <a:endParaRPr lang="en-US" sz="2000" dirty="0">
                            <a:latin typeface="Times New Roman"/>
                          </a:endParaRPr>
                        </a:p>
                      </a:txBody>
                      <a:useSpRect/>
                    </a:txSp>
                  </a:sp>
                  <a:sp>
                    <a:nvSpPr>
                      <a:cNvPr id="20" name="TextBox 19"/>
                      <a:cNvSpPr txBox="1"/>
                    </a:nvSpPr>
                    <a:spPr>
                      <a:xfrm>
                        <a:off x="4753429" y="3288055"/>
                        <a:ext cx="979714" cy="400110"/>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000" dirty="0" smtClean="0">
                              <a:latin typeface="Times New Roman"/>
                            </a:rPr>
                            <a:t>Qu</a:t>
                          </a:r>
                          <a:r>
                            <a:rPr lang="en-US" sz="2000" dirty="0" smtClean="0"/>
                            <a:t>.</a:t>
                          </a:r>
                          <a:r>
                            <a:rPr lang="en-US" sz="2000" dirty="0" smtClean="0">
                              <a:latin typeface="Times New Roman"/>
                            </a:rPr>
                            <a:t> 4</a:t>
                          </a:r>
                          <a:endParaRPr lang="en-US" sz="2000" dirty="0">
                            <a:latin typeface="Times New Roman"/>
                          </a:endParaRPr>
                        </a:p>
                      </a:txBody>
                      <a:useSpRect/>
                    </a:txSp>
                  </a:sp>
                  <a:sp>
                    <a:nvSpPr>
                      <a:cNvPr id="21" name="TextBox 20"/>
                      <a:cNvSpPr txBox="1"/>
                    </a:nvSpPr>
                    <a:spPr>
                      <a:xfrm>
                        <a:off x="1269998" y="5044677"/>
                        <a:ext cx="6712858" cy="461665"/>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sz="2400" dirty="0" smtClean="0">
                              <a:latin typeface="Times New Roman"/>
                            </a:rPr>
                            <a:t>Classifying data (course / level teaching / subject)</a:t>
                          </a:r>
                          <a:endParaRPr lang="en-US" sz="2400" dirty="0">
                            <a:latin typeface="Times New Roman"/>
                          </a:endParaRPr>
                        </a:p>
                      </a:txBody>
                      <a:useSpRect/>
                    </a:txSp>
                  </a:sp>
                </lc:lockedCanvas>
              </a:graphicData>
            </a:graphic>
          </wp:inline>
        </w:drawing>
      </w:r>
    </w:p>
    <w:p w:rsidR="008750B8" w:rsidRDefault="008750B8" w:rsidP="000439F9">
      <w:pPr>
        <w:spacing w:line="360" w:lineRule="auto"/>
        <w:jc w:val="both"/>
        <w:rPr>
          <w:rFonts w:ascii="Arial" w:hAnsi="Arial" w:cs="Times New Roman"/>
          <w:sz w:val="22"/>
          <w:lang w:val="en-GB"/>
        </w:rPr>
      </w:pPr>
    </w:p>
    <w:p w:rsidR="00B369B4" w:rsidRPr="00720EBF" w:rsidRDefault="00EC7F63" w:rsidP="000439F9">
      <w:pPr>
        <w:spacing w:line="360" w:lineRule="auto"/>
        <w:jc w:val="both"/>
        <w:rPr>
          <w:rFonts w:ascii="Arial" w:hAnsi="Arial" w:cs="Times New Roman"/>
          <w:sz w:val="22"/>
          <w:lang w:val="en-GB"/>
        </w:rPr>
      </w:pPr>
      <w:r w:rsidRPr="00720EBF">
        <w:rPr>
          <w:rFonts w:ascii="Arial" w:hAnsi="Arial" w:cs="Times New Roman"/>
          <w:sz w:val="22"/>
          <w:lang w:val="en-GB"/>
        </w:rPr>
        <w:t>After obtaining permission from the relevant board in each of the four institutions, the ques</w:t>
      </w:r>
      <w:r w:rsidR="00D8588E" w:rsidRPr="00720EBF">
        <w:rPr>
          <w:rFonts w:ascii="Arial" w:hAnsi="Arial" w:cs="Times New Roman"/>
          <w:sz w:val="22"/>
          <w:lang w:val="en-GB"/>
        </w:rPr>
        <w:t xml:space="preserve">tionnaire was administered in </w:t>
      </w:r>
      <w:r w:rsidR="003662F2" w:rsidRPr="00720EBF">
        <w:rPr>
          <w:rFonts w:ascii="Arial" w:hAnsi="Arial" w:cs="Times New Roman"/>
          <w:sz w:val="22"/>
          <w:lang w:val="en-GB"/>
        </w:rPr>
        <w:t xml:space="preserve">the </w:t>
      </w:r>
      <w:r w:rsidRPr="00720EBF">
        <w:rPr>
          <w:rFonts w:ascii="Arial" w:hAnsi="Arial" w:cs="Times New Roman"/>
          <w:sz w:val="22"/>
          <w:lang w:val="en-GB"/>
        </w:rPr>
        <w:t>selected education class</w:t>
      </w:r>
      <w:r w:rsidR="00D8588E" w:rsidRPr="00720EBF">
        <w:rPr>
          <w:rFonts w:ascii="Arial" w:hAnsi="Arial" w:cs="Times New Roman"/>
          <w:sz w:val="22"/>
          <w:lang w:val="en-GB"/>
        </w:rPr>
        <w:t>es</w:t>
      </w:r>
      <w:r w:rsidR="0053457F" w:rsidRPr="00720EBF">
        <w:rPr>
          <w:rFonts w:ascii="Arial" w:hAnsi="Arial" w:cs="Times New Roman"/>
          <w:sz w:val="22"/>
          <w:lang w:val="en-GB"/>
        </w:rPr>
        <w:t xml:space="preserve">.  Administration was carried out </w:t>
      </w:r>
      <w:r w:rsidRPr="00720EBF">
        <w:rPr>
          <w:rFonts w:ascii="Arial" w:hAnsi="Arial" w:cs="Times New Roman"/>
          <w:sz w:val="22"/>
          <w:lang w:val="en-GB"/>
        </w:rPr>
        <w:t xml:space="preserve">by the relevant researcher or by a </w:t>
      </w:r>
      <w:r w:rsidR="00472925" w:rsidRPr="00720EBF">
        <w:rPr>
          <w:rFonts w:ascii="Arial" w:hAnsi="Arial" w:cs="Times New Roman"/>
          <w:sz w:val="22"/>
          <w:lang w:val="en-GB"/>
        </w:rPr>
        <w:t xml:space="preserve">trained </w:t>
      </w:r>
      <w:r w:rsidRPr="00720EBF">
        <w:rPr>
          <w:rFonts w:ascii="Arial" w:hAnsi="Arial" w:cs="Times New Roman"/>
          <w:sz w:val="22"/>
          <w:lang w:val="en-GB"/>
        </w:rPr>
        <w:t xml:space="preserve">colleague </w:t>
      </w:r>
      <w:r w:rsidR="003662F2" w:rsidRPr="00720EBF">
        <w:rPr>
          <w:rFonts w:ascii="Arial" w:hAnsi="Arial" w:cs="Times New Roman"/>
          <w:sz w:val="22"/>
          <w:lang w:val="en-GB"/>
        </w:rPr>
        <w:t>who</w:t>
      </w:r>
      <w:r w:rsidRPr="00720EBF">
        <w:rPr>
          <w:rFonts w:ascii="Arial" w:hAnsi="Arial" w:cs="Times New Roman"/>
          <w:sz w:val="22"/>
          <w:lang w:val="en-GB"/>
        </w:rPr>
        <w:t xml:space="preserve"> was given the appropriate instructions.</w:t>
      </w:r>
    </w:p>
    <w:p w:rsidR="00B369B4" w:rsidRPr="00720EBF" w:rsidRDefault="00B369B4" w:rsidP="000439F9">
      <w:pPr>
        <w:spacing w:line="360" w:lineRule="auto"/>
        <w:jc w:val="both"/>
        <w:rPr>
          <w:rFonts w:ascii="Arial" w:hAnsi="Arial" w:cs="Times New Roman"/>
          <w:sz w:val="22"/>
          <w:lang w:val="en-GB"/>
        </w:rPr>
      </w:pPr>
    </w:p>
    <w:p w:rsidR="002752FB" w:rsidRPr="00720EBF" w:rsidRDefault="00B369B4" w:rsidP="00C6684A">
      <w:pPr>
        <w:spacing w:line="360" w:lineRule="auto"/>
        <w:jc w:val="both"/>
        <w:rPr>
          <w:rFonts w:ascii="Arial" w:hAnsi="Arial"/>
          <w:sz w:val="22"/>
          <w:lang w:val="en-GB"/>
        </w:rPr>
      </w:pPr>
      <w:r w:rsidRPr="00720EBF">
        <w:rPr>
          <w:rFonts w:ascii="Arial" w:hAnsi="Arial"/>
          <w:sz w:val="22"/>
          <w:lang w:val="en-GB"/>
        </w:rPr>
        <w:t xml:space="preserve">Questionnaires were received from 171 respondents.   However, thirteen Portuguese students took the word </w:t>
      </w:r>
      <w:r w:rsidR="00D64DFA" w:rsidRPr="00720EBF">
        <w:rPr>
          <w:rFonts w:ascii="Arial" w:hAnsi="Arial"/>
          <w:i/>
          <w:iCs/>
          <w:sz w:val="22"/>
          <w:lang w:val="en-GB"/>
        </w:rPr>
        <w:t>‘</w:t>
      </w:r>
      <w:r w:rsidRPr="00720EBF">
        <w:rPr>
          <w:rFonts w:ascii="Arial" w:hAnsi="Arial"/>
          <w:i/>
          <w:iCs/>
          <w:sz w:val="22"/>
          <w:lang w:val="en-GB"/>
        </w:rPr>
        <w:t>razão</w:t>
      </w:r>
      <w:r w:rsidR="00D64DFA" w:rsidRPr="00720EBF">
        <w:rPr>
          <w:rFonts w:ascii="Arial" w:hAnsi="Arial"/>
          <w:i/>
          <w:iCs/>
          <w:sz w:val="22"/>
          <w:lang w:val="en-GB"/>
        </w:rPr>
        <w:t>’</w:t>
      </w:r>
      <w:r w:rsidRPr="00720EBF">
        <w:rPr>
          <w:rFonts w:ascii="Arial" w:hAnsi="Arial"/>
          <w:i/>
          <w:iCs/>
          <w:sz w:val="22"/>
          <w:lang w:val="en-GB"/>
        </w:rPr>
        <w:t xml:space="preserve"> </w:t>
      </w:r>
      <w:r w:rsidRPr="00720EBF">
        <w:rPr>
          <w:rFonts w:ascii="Arial" w:hAnsi="Arial"/>
          <w:sz w:val="22"/>
          <w:lang w:val="en-GB"/>
        </w:rPr>
        <w:t xml:space="preserve">in its everyday rather than its mathematical sense; </w:t>
      </w:r>
      <w:r w:rsidR="00D64DFA" w:rsidRPr="00720EBF">
        <w:rPr>
          <w:rFonts w:ascii="Arial" w:hAnsi="Arial"/>
          <w:i/>
          <w:iCs/>
          <w:sz w:val="22"/>
          <w:lang w:val="en-GB"/>
        </w:rPr>
        <w:t>‘</w:t>
      </w:r>
      <w:r w:rsidRPr="00720EBF">
        <w:rPr>
          <w:rFonts w:ascii="Arial" w:hAnsi="Arial"/>
          <w:i/>
          <w:iCs/>
          <w:sz w:val="22"/>
          <w:lang w:val="en-GB"/>
        </w:rPr>
        <w:t>ter razão</w:t>
      </w:r>
      <w:r w:rsidR="00D64DFA" w:rsidRPr="00720EBF">
        <w:rPr>
          <w:rFonts w:ascii="Arial" w:hAnsi="Arial"/>
          <w:i/>
          <w:iCs/>
          <w:sz w:val="22"/>
          <w:lang w:val="en-GB"/>
        </w:rPr>
        <w:t>’</w:t>
      </w:r>
      <w:r w:rsidRPr="00720EBF">
        <w:rPr>
          <w:rFonts w:ascii="Arial" w:hAnsi="Arial"/>
          <w:sz w:val="22"/>
          <w:lang w:val="en-GB"/>
        </w:rPr>
        <w:t xml:space="preserve"> means to be correct or to put forward correct arguments. These respondents </w:t>
      </w:r>
      <w:r w:rsidR="00C87F8B" w:rsidRPr="00720EBF">
        <w:rPr>
          <w:rFonts w:ascii="Arial" w:hAnsi="Arial"/>
          <w:sz w:val="22"/>
          <w:lang w:val="en-GB"/>
        </w:rPr>
        <w:t xml:space="preserve">– chiefly prospective science teachers rather than mathematics teachers – </w:t>
      </w:r>
      <w:r w:rsidRPr="00720EBF">
        <w:rPr>
          <w:rFonts w:ascii="Arial" w:hAnsi="Arial"/>
          <w:sz w:val="22"/>
          <w:lang w:val="en-GB"/>
        </w:rPr>
        <w:t xml:space="preserve">were excluded, and 158 questionnaires were analysed.  The distributions across the school level at which the respondents were preparing to teach, their main subject areas (where relevant), their professional stage, and the country in which they were studying are shown in Table 1.  The data are presented in order to give an overall picture of the responding cohort; however, other than noting some variations that may reflect other differences in understanding or culture between students in different countries, analysis by sub-category is outside the scope of this paper.  </w:t>
      </w:r>
    </w:p>
    <w:p w:rsidR="002752FB" w:rsidRPr="00720EBF" w:rsidRDefault="002752FB" w:rsidP="00B369B4">
      <w:pPr>
        <w:spacing w:line="360" w:lineRule="auto"/>
        <w:rPr>
          <w:rFonts w:ascii="Arial" w:hAnsi="Arial"/>
          <w:sz w:val="22"/>
          <w:lang w:val="en-GB"/>
        </w:rPr>
      </w:pPr>
    </w:p>
    <w:p w:rsidR="002752FB" w:rsidRPr="00720EBF" w:rsidRDefault="002752FB" w:rsidP="002752FB">
      <w:pPr>
        <w:spacing w:line="360" w:lineRule="auto"/>
        <w:jc w:val="both"/>
        <w:rPr>
          <w:rFonts w:ascii="Arial" w:hAnsi="Arial" w:cs="Times New Roman"/>
          <w:sz w:val="22"/>
          <w:lang w:val="en-GB"/>
        </w:rPr>
      </w:pPr>
      <w:r w:rsidRPr="00720EBF">
        <w:rPr>
          <w:rFonts w:ascii="Arial" w:hAnsi="Arial" w:cs="Times New Roman"/>
          <w:sz w:val="22"/>
          <w:lang w:val="en-GB"/>
        </w:rPr>
        <w:t>As far as data analysis is concerned, data from each institution were examined by the relevant author. Responses (converted into English when necessary) were tabulated for each question and codes were devised. Afterwards,</w:t>
      </w:r>
      <w:r w:rsidR="00C51ECD" w:rsidRPr="00720EBF">
        <w:rPr>
          <w:rFonts w:ascii="Arial" w:hAnsi="Arial" w:cs="Times New Roman"/>
          <w:sz w:val="22"/>
          <w:lang w:val="en-GB"/>
        </w:rPr>
        <w:t xml:space="preserve"> codes were entered into spread</w:t>
      </w:r>
      <w:r w:rsidRPr="00720EBF">
        <w:rPr>
          <w:rFonts w:ascii="Arial" w:hAnsi="Arial" w:cs="Times New Roman"/>
          <w:sz w:val="22"/>
          <w:lang w:val="en-GB"/>
        </w:rPr>
        <w:t>sheets which were shared among the authors and adjusted to facilitate comparability of answers among countries. Then, relative frequencies per question and category (code) were calculated. In addition, interesting responses (that is answers that include quite deep explanations) were examined in more detail so that emergent themes were identified.  Addressing the research questions for this paper, reporting is restricted to data from questions 1, 3 and 4.</w:t>
      </w:r>
    </w:p>
    <w:p w:rsidR="00B369B4" w:rsidRPr="00720EBF" w:rsidRDefault="00B369B4" w:rsidP="00B369B4">
      <w:pPr>
        <w:spacing w:line="360" w:lineRule="auto"/>
        <w:rPr>
          <w:rFonts w:ascii="Arial" w:hAnsi="Arial"/>
          <w:sz w:val="22"/>
          <w:lang w:val="en-GB"/>
        </w:rPr>
      </w:pPr>
    </w:p>
    <w:p w:rsidR="00B369B4" w:rsidRPr="00720EBF" w:rsidRDefault="00B369B4" w:rsidP="00B369B4">
      <w:pPr>
        <w:spacing w:after="120" w:line="360" w:lineRule="auto"/>
        <w:jc w:val="center"/>
        <w:rPr>
          <w:rFonts w:ascii="Arial" w:hAnsi="Arial" w:cs="Times New Roman"/>
          <w:sz w:val="22"/>
          <w:lang w:val="en-GB"/>
        </w:rPr>
      </w:pPr>
      <w:r w:rsidRPr="00720EBF">
        <w:rPr>
          <w:rFonts w:ascii="Arial" w:hAnsi="Arial" w:cs="Times New Roman"/>
          <w:b/>
          <w:sz w:val="22"/>
          <w:lang w:val="en-GB"/>
        </w:rPr>
        <w:t>Table</w:t>
      </w:r>
      <w:r w:rsidR="002752FB" w:rsidRPr="00720EBF">
        <w:rPr>
          <w:rFonts w:ascii="Arial" w:hAnsi="Arial" w:cs="Times New Roman"/>
          <w:b/>
          <w:sz w:val="22"/>
          <w:lang w:val="en-GB"/>
        </w:rPr>
        <w:t xml:space="preserve"> </w:t>
      </w:r>
      <w:r w:rsidRPr="00720EBF">
        <w:rPr>
          <w:rFonts w:ascii="Arial" w:hAnsi="Arial" w:cs="Times New Roman"/>
          <w:b/>
          <w:sz w:val="22"/>
          <w:lang w:val="en-GB"/>
        </w:rPr>
        <w:t>1</w:t>
      </w:r>
      <w:r w:rsidRPr="00720EBF">
        <w:rPr>
          <w:rFonts w:ascii="Arial" w:hAnsi="Arial" w:cs="Times New Roman"/>
          <w:sz w:val="22"/>
          <w:lang w:val="en-GB"/>
        </w:rPr>
        <w:t>: Characteristics of the achieved sample</w:t>
      </w:r>
    </w:p>
    <w:tbl>
      <w:tblPr>
        <w:tblStyle w:val="TableGrid"/>
        <w:tblW w:w="7500" w:type="dxa"/>
        <w:jc w:val="center"/>
        <w:tblLook w:val="04A0"/>
      </w:tblPr>
      <w:tblGrid>
        <w:gridCol w:w="2928"/>
        <w:gridCol w:w="2067"/>
        <w:gridCol w:w="992"/>
        <w:gridCol w:w="1513"/>
      </w:tblGrid>
      <w:tr w:rsidR="00B369B4" w:rsidRPr="00720EBF">
        <w:trPr>
          <w:jc w:val="center"/>
        </w:trPr>
        <w:tc>
          <w:tcPr>
            <w:tcW w:w="2928" w:type="dxa"/>
          </w:tcPr>
          <w:p w:rsidR="00B369B4" w:rsidRPr="00720EBF" w:rsidRDefault="00B369B4" w:rsidP="000439F9">
            <w:pPr>
              <w:spacing w:line="360" w:lineRule="auto"/>
              <w:jc w:val="center"/>
              <w:rPr>
                <w:rFonts w:ascii="Arial" w:hAnsi="Arial" w:cs="Times New Roman"/>
                <w:b/>
                <w:szCs w:val="20"/>
                <w:lang w:val="en-GB"/>
              </w:rPr>
            </w:pPr>
            <w:r w:rsidRPr="00720EBF">
              <w:rPr>
                <w:rFonts w:ascii="Arial" w:hAnsi="Arial" w:cs="Times New Roman"/>
                <w:b/>
                <w:szCs w:val="20"/>
                <w:lang w:val="en-GB"/>
              </w:rPr>
              <w:t>Category</w:t>
            </w:r>
          </w:p>
        </w:tc>
        <w:tc>
          <w:tcPr>
            <w:tcW w:w="2067" w:type="dxa"/>
          </w:tcPr>
          <w:p w:rsidR="00B369B4" w:rsidRPr="00720EBF" w:rsidRDefault="00B369B4" w:rsidP="000439F9">
            <w:pPr>
              <w:spacing w:line="360" w:lineRule="auto"/>
              <w:jc w:val="center"/>
              <w:rPr>
                <w:rFonts w:ascii="Arial" w:hAnsi="Arial" w:cs="Times New Roman"/>
                <w:b/>
                <w:szCs w:val="20"/>
                <w:lang w:val="en-GB"/>
              </w:rPr>
            </w:pPr>
            <w:r w:rsidRPr="00720EBF">
              <w:rPr>
                <w:rFonts w:ascii="Arial" w:hAnsi="Arial" w:cs="Times New Roman"/>
                <w:b/>
                <w:szCs w:val="20"/>
                <w:lang w:val="en-GB"/>
              </w:rPr>
              <w:t>Sub-category</w:t>
            </w:r>
          </w:p>
        </w:tc>
        <w:tc>
          <w:tcPr>
            <w:tcW w:w="992" w:type="dxa"/>
          </w:tcPr>
          <w:p w:rsidR="00B369B4" w:rsidRPr="00720EBF" w:rsidRDefault="00B369B4" w:rsidP="000439F9">
            <w:pPr>
              <w:spacing w:line="360" w:lineRule="auto"/>
              <w:jc w:val="center"/>
              <w:rPr>
                <w:rFonts w:ascii="Arial" w:hAnsi="Arial" w:cs="Times New Roman"/>
                <w:b/>
                <w:szCs w:val="20"/>
                <w:lang w:val="en-GB"/>
              </w:rPr>
            </w:pPr>
            <w:r w:rsidRPr="00720EBF">
              <w:rPr>
                <w:rFonts w:ascii="Arial" w:hAnsi="Arial" w:cs="Times New Roman"/>
                <w:b/>
                <w:szCs w:val="20"/>
                <w:lang w:val="en-GB"/>
              </w:rPr>
              <w:t>#</w:t>
            </w:r>
          </w:p>
        </w:tc>
        <w:tc>
          <w:tcPr>
            <w:tcW w:w="1513" w:type="dxa"/>
          </w:tcPr>
          <w:p w:rsidR="00B369B4" w:rsidRPr="00720EBF" w:rsidRDefault="00B369B4" w:rsidP="000439F9">
            <w:pPr>
              <w:spacing w:line="360" w:lineRule="auto"/>
              <w:jc w:val="center"/>
              <w:rPr>
                <w:rFonts w:ascii="Arial" w:hAnsi="Arial" w:cs="Times New Roman"/>
                <w:b/>
                <w:szCs w:val="20"/>
                <w:lang w:val="en-GB"/>
              </w:rPr>
            </w:pPr>
            <w:r w:rsidRPr="00720EBF">
              <w:rPr>
                <w:rFonts w:ascii="Arial" w:hAnsi="Arial" w:cs="Times New Roman"/>
                <w:b/>
                <w:szCs w:val="20"/>
                <w:lang w:val="en-GB"/>
              </w:rPr>
              <w:t>Total for category</w:t>
            </w:r>
          </w:p>
        </w:tc>
      </w:tr>
      <w:tr w:rsidR="00B369B4" w:rsidRPr="00720EBF">
        <w:trPr>
          <w:jc w:val="center"/>
        </w:trPr>
        <w:tc>
          <w:tcPr>
            <w:tcW w:w="2928" w:type="dxa"/>
            <w:vMerge w:val="restart"/>
            <w:vAlign w:val="center"/>
          </w:tcPr>
          <w:p w:rsidR="00B369B4" w:rsidRPr="00720EBF" w:rsidRDefault="00B369B4" w:rsidP="000439F9">
            <w:pPr>
              <w:spacing w:line="360" w:lineRule="auto"/>
              <w:rPr>
                <w:rFonts w:ascii="Arial" w:hAnsi="Arial" w:cs="Times New Roman"/>
                <w:szCs w:val="20"/>
                <w:lang w:val="en-GB"/>
              </w:rPr>
            </w:pPr>
            <w:r w:rsidRPr="00720EBF">
              <w:rPr>
                <w:rFonts w:ascii="Arial" w:hAnsi="Arial" w:cs="Times New Roman"/>
                <w:szCs w:val="20"/>
                <w:lang w:val="en-GB"/>
              </w:rPr>
              <w:t>School level</w:t>
            </w: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 xml:space="preserve">Primary </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101</w:t>
            </w:r>
          </w:p>
        </w:tc>
        <w:tc>
          <w:tcPr>
            <w:tcW w:w="1513" w:type="dxa"/>
            <w:vMerge w:val="restart"/>
            <w:vAlign w:val="center"/>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158</w:t>
            </w: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szCs w:val="20"/>
                <w:lang w:val="en-GB"/>
              </w:rPr>
            </w:pP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Secondary*</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53</w:t>
            </w:r>
          </w:p>
        </w:tc>
        <w:tc>
          <w:tcPr>
            <w:tcW w:w="1513" w:type="dxa"/>
            <w:vMerge/>
            <w:vAlign w:val="center"/>
          </w:tcPr>
          <w:p w:rsidR="00B369B4" w:rsidRPr="00720EBF" w:rsidRDefault="00B369B4" w:rsidP="000439F9">
            <w:pPr>
              <w:spacing w:line="360" w:lineRule="auto"/>
              <w:jc w:val="center"/>
              <w:rPr>
                <w:rFonts w:ascii="Arial" w:hAnsi="Arial" w:cs="Times New Roman"/>
                <w:szCs w:val="20"/>
                <w:lang w:val="en-GB"/>
              </w:rPr>
            </w:pP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szCs w:val="20"/>
                <w:lang w:val="en-GB"/>
              </w:rPr>
            </w:pP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Other</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4</w:t>
            </w:r>
          </w:p>
        </w:tc>
        <w:tc>
          <w:tcPr>
            <w:tcW w:w="1513" w:type="dxa"/>
            <w:vMerge/>
            <w:vAlign w:val="center"/>
          </w:tcPr>
          <w:p w:rsidR="00B369B4" w:rsidRPr="00720EBF" w:rsidRDefault="00B369B4" w:rsidP="000439F9">
            <w:pPr>
              <w:spacing w:line="360" w:lineRule="auto"/>
              <w:jc w:val="center"/>
              <w:rPr>
                <w:rFonts w:ascii="Arial" w:hAnsi="Arial" w:cs="Times New Roman"/>
                <w:szCs w:val="20"/>
                <w:lang w:val="en-GB"/>
              </w:rPr>
            </w:pPr>
          </w:p>
        </w:tc>
      </w:tr>
      <w:tr w:rsidR="00B369B4" w:rsidRPr="00720EBF">
        <w:trPr>
          <w:jc w:val="center"/>
        </w:trPr>
        <w:tc>
          <w:tcPr>
            <w:tcW w:w="2928" w:type="dxa"/>
            <w:vMerge w:val="restart"/>
            <w:vAlign w:val="center"/>
          </w:tcPr>
          <w:p w:rsidR="00B369B4" w:rsidRPr="00720EBF" w:rsidRDefault="00B369B4" w:rsidP="000439F9">
            <w:pPr>
              <w:spacing w:line="360" w:lineRule="auto"/>
              <w:rPr>
                <w:rFonts w:ascii="Arial" w:hAnsi="Arial" w:cs="Times New Roman"/>
                <w:i/>
                <w:szCs w:val="20"/>
                <w:lang w:val="en-GB"/>
              </w:rPr>
            </w:pPr>
            <w:r w:rsidRPr="00720EBF">
              <w:rPr>
                <w:rFonts w:ascii="Arial" w:hAnsi="Arial" w:cs="Times New Roman"/>
                <w:i/>
                <w:szCs w:val="20"/>
                <w:lang w:val="en-GB"/>
              </w:rPr>
              <w:t>*Secondary school subject</w:t>
            </w:r>
          </w:p>
        </w:tc>
        <w:tc>
          <w:tcPr>
            <w:tcW w:w="2067" w:type="dxa"/>
          </w:tcPr>
          <w:p w:rsidR="00B369B4" w:rsidRPr="00720EBF" w:rsidRDefault="00B369B4" w:rsidP="000439F9">
            <w:pPr>
              <w:spacing w:line="360" w:lineRule="auto"/>
              <w:jc w:val="both"/>
              <w:rPr>
                <w:rFonts w:ascii="Arial" w:hAnsi="Arial" w:cs="Times New Roman"/>
                <w:i/>
                <w:szCs w:val="20"/>
                <w:lang w:val="en-GB"/>
              </w:rPr>
            </w:pPr>
            <w:r w:rsidRPr="00720EBF">
              <w:rPr>
                <w:rFonts w:ascii="Arial" w:hAnsi="Arial" w:cs="Times New Roman"/>
                <w:i/>
                <w:szCs w:val="20"/>
                <w:lang w:val="en-GB"/>
              </w:rPr>
              <w:t>Mathematics</w:t>
            </w:r>
          </w:p>
        </w:tc>
        <w:tc>
          <w:tcPr>
            <w:tcW w:w="992" w:type="dxa"/>
          </w:tcPr>
          <w:p w:rsidR="00B369B4" w:rsidRPr="00720EBF" w:rsidRDefault="00B369B4" w:rsidP="000439F9">
            <w:pPr>
              <w:spacing w:line="360" w:lineRule="auto"/>
              <w:jc w:val="center"/>
              <w:rPr>
                <w:rFonts w:ascii="Arial" w:hAnsi="Arial" w:cs="Times New Roman"/>
                <w:i/>
                <w:szCs w:val="20"/>
                <w:lang w:val="en-GB"/>
              </w:rPr>
            </w:pPr>
            <w:r w:rsidRPr="00720EBF">
              <w:rPr>
                <w:rFonts w:ascii="Arial" w:hAnsi="Arial" w:cs="Times New Roman"/>
                <w:i/>
                <w:szCs w:val="20"/>
                <w:lang w:val="en-GB"/>
              </w:rPr>
              <w:t>14</w:t>
            </w:r>
          </w:p>
        </w:tc>
        <w:tc>
          <w:tcPr>
            <w:tcW w:w="1513" w:type="dxa"/>
            <w:vMerge w:val="restart"/>
            <w:vAlign w:val="center"/>
          </w:tcPr>
          <w:p w:rsidR="00B369B4" w:rsidRPr="00720EBF" w:rsidRDefault="00B369B4" w:rsidP="000439F9">
            <w:pPr>
              <w:spacing w:line="360" w:lineRule="auto"/>
              <w:jc w:val="center"/>
              <w:rPr>
                <w:rFonts w:ascii="Arial" w:hAnsi="Arial" w:cs="Times New Roman"/>
                <w:i/>
                <w:szCs w:val="20"/>
                <w:lang w:val="en-GB"/>
              </w:rPr>
            </w:pPr>
            <w:r w:rsidRPr="00720EBF">
              <w:rPr>
                <w:rFonts w:ascii="Arial" w:hAnsi="Arial" w:cs="Times New Roman"/>
                <w:i/>
                <w:szCs w:val="20"/>
                <w:lang w:val="en-GB"/>
              </w:rPr>
              <w:t>53</w:t>
            </w: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i/>
                <w:szCs w:val="20"/>
                <w:lang w:val="en-GB"/>
              </w:rPr>
            </w:pPr>
          </w:p>
        </w:tc>
        <w:tc>
          <w:tcPr>
            <w:tcW w:w="2067" w:type="dxa"/>
          </w:tcPr>
          <w:p w:rsidR="00B369B4" w:rsidRPr="00720EBF" w:rsidRDefault="00B369B4" w:rsidP="000439F9">
            <w:pPr>
              <w:spacing w:line="360" w:lineRule="auto"/>
              <w:jc w:val="both"/>
              <w:rPr>
                <w:rFonts w:ascii="Arial" w:hAnsi="Arial" w:cs="Times New Roman"/>
                <w:i/>
                <w:szCs w:val="20"/>
                <w:lang w:val="en-GB"/>
              </w:rPr>
            </w:pPr>
            <w:r w:rsidRPr="00720EBF">
              <w:rPr>
                <w:rFonts w:ascii="Arial" w:hAnsi="Arial" w:cs="Times New Roman"/>
                <w:i/>
                <w:szCs w:val="20"/>
                <w:lang w:val="en-GB"/>
              </w:rPr>
              <w:t>Science</w:t>
            </w:r>
          </w:p>
        </w:tc>
        <w:tc>
          <w:tcPr>
            <w:tcW w:w="992" w:type="dxa"/>
          </w:tcPr>
          <w:p w:rsidR="00B369B4" w:rsidRPr="00720EBF" w:rsidRDefault="00B369B4" w:rsidP="000439F9">
            <w:pPr>
              <w:spacing w:line="360" w:lineRule="auto"/>
              <w:jc w:val="center"/>
              <w:rPr>
                <w:rFonts w:ascii="Arial" w:hAnsi="Arial" w:cs="Times New Roman"/>
                <w:i/>
                <w:szCs w:val="20"/>
                <w:lang w:val="en-GB"/>
              </w:rPr>
            </w:pPr>
            <w:r w:rsidRPr="00720EBF">
              <w:rPr>
                <w:rFonts w:ascii="Arial" w:hAnsi="Arial" w:cs="Times New Roman"/>
                <w:i/>
                <w:szCs w:val="20"/>
                <w:lang w:val="en-GB"/>
              </w:rPr>
              <w:t>32</w:t>
            </w:r>
          </w:p>
        </w:tc>
        <w:tc>
          <w:tcPr>
            <w:tcW w:w="1513" w:type="dxa"/>
            <w:vMerge/>
            <w:vAlign w:val="center"/>
          </w:tcPr>
          <w:p w:rsidR="00B369B4" w:rsidRPr="00720EBF" w:rsidRDefault="00B369B4" w:rsidP="000439F9">
            <w:pPr>
              <w:spacing w:line="360" w:lineRule="auto"/>
              <w:jc w:val="center"/>
              <w:rPr>
                <w:rFonts w:ascii="Arial" w:hAnsi="Arial" w:cs="Times New Roman"/>
                <w:i/>
                <w:szCs w:val="20"/>
                <w:lang w:val="en-GB"/>
              </w:rPr>
            </w:pP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i/>
                <w:szCs w:val="20"/>
                <w:lang w:val="en-GB"/>
              </w:rPr>
            </w:pPr>
          </w:p>
        </w:tc>
        <w:tc>
          <w:tcPr>
            <w:tcW w:w="2067" w:type="dxa"/>
          </w:tcPr>
          <w:p w:rsidR="00B369B4" w:rsidRPr="00720EBF" w:rsidRDefault="00B369B4" w:rsidP="000439F9">
            <w:pPr>
              <w:spacing w:line="360" w:lineRule="auto"/>
              <w:jc w:val="both"/>
              <w:rPr>
                <w:rFonts w:ascii="Arial" w:hAnsi="Arial" w:cs="Times New Roman"/>
                <w:i/>
                <w:szCs w:val="20"/>
                <w:lang w:val="en-GB"/>
              </w:rPr>
            </w:pPr>
            <w:r w:rsidRPr="00720EBF">
              <w:rPr>
                <w:rFonts w:ascii="Arial" w:hAnsi="Arial" w:cs="Times New Roman"/>
                <w:i/>
                <w:szCs w:val="20"/>
                <w:lang w:val="en-GB"/>
              </w:rPr>
              <w:t>Other</w:t>
            </w:r>
          </w:p>
        </w:tc>
        <w:tc>
          <w:tcPr>
            <w:tcW w:w="992" w:type="dxa"/>
          </w:tcPr>
          <w:p w:rsidR="00B369B4" w:rsidRPr="00720EBF" w:rsidRDefault="00B369B4" w:rsidP="000439F9">
            <w:pPr>
              <w:spacing w:line="360" w:lineRule="auto"/>
              <w:jc w:val="center"/>
              <w:rPr>
                <w:rFonts w:ascii="Arial" w:hAnsi="Arial" w:cs="Times New Roman"/>
                <w:i/>
                <w:szCs w:val="20"/>
                <w:lang w:val="en-GB"/>
              </w:rPr>
            </w:pPr>
            <w:r w:rsidRPr="00720EBF">
              <w:rPr>
                <w:rFonts w:ascii="Arial" w:hAnsi="Arial" w:cs="Times New Roman"/>
                <w:i/>
                <w:szCs w:val="20"/>
                <w:lang w:val="en-GB"/>
              </w:rPr>
              <w:t>7</w:t>
            </w:r>
          </w:p>
        </w:tc>
        <w:tc>
          <w:tcPr>
            <w:tcW w:w="1513" w:type="dxa"/>
            <w:vMerge/>
            <w:vAlign w:val="center"/>
          </w:tcPr>
          <w:p w:rsidR="00B369B4" w:rsidRPr="00720EBF" w:rsidRDefault="00B369B4" w:rsidP="000439F9">
            <w:pPr>
              <w:spacing w:line="360" w:lineRule="auto"/>
              <w:jc w:val="center"/>
              <w:rPr>
                <w:rFonts w:ascii="Arial" w:hAnsi="Arial" w:cs="Times New Roman"/>
                <w:i/>
                <w:szCs w:val="20"/>
                <w:lang w:val="en-GB"/>
              </w:rPr>
            </w:pPr>
          </w:p>
        </w:tc>
      </w:tr>
      <w:tr w:rsidR="00B369B4" w:rsidRPr="00720EBF">
        <w:trPr>
          <w:jc w:val="center"/>
        </w:trPr>
        <w:tc>
          <w:tcPr>
            <w:tcW w:w="2928" w:type="dxa"/>
            <w:vMerge w:val="restart"/>
            <w:vAlign w:val="center"/>
          </w:tcPr>
          <w:p w:rsidR="00B369B4" w:rsidRPr="00720EBF" w:rsidRDefault="00B369B4" w:rsidP="000439F9">
            <w:pPr>
              <w:spacing w:line="360" w:lineRule="auto"/>
              <w:rPr>
                <w:rFonts w:ascii="Arial" w:hAnsi="Arial" w:cs="Times New Roman"/>
                <w:szCs w:val="20"/>
                <w:lang w:val="en-GB"/>
              </w:rPr>
            </w:pPr>
            <w:r w:rsidRPr="00720EBF">
              <w:rPr>
                <w:rFonts w:ascii="Arial" w:hAnsi="Arial" w:cs="Times New Roman"/>
                <w:szCs w:val="20"/>
                <w:lang w:val="en-GB"/>
              </w:rPr>
              <w:t>Professional stage</w:t>
            </w: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Pre-service</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149</w:t>
            </w:r>
          </w:p>
        </w:tc>
        <w:tc>
          <w:tcPr>
            <w:tcW w:w="1513" w:type="dxa"/>
            <w:vMerge w:val="restart"/>
            <w:vAlign w:val="center"/>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158</w:t>
            </w: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szCs w:val="20"/>
                <w:lang w:val="en-GB"/>
              </w:rPr>
            </w:pP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Other</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9</w:t>
            </w:r>
          </w:p>
        </w:tc>
        <w:tc>
          <w:tcPr>
            <w:tcW w:w="1513" w:type="dxa"/>
            <w:vMerge/>
          </w:tcPr>
          <w:p w:rsidR="00B369B4" w:rsidRPr="00720EBF" w:rsidRDefault="00B369B4" w:rsidP="000439F9">
            <w:pPr>
              <w:spacing w:line="360" w:lineRule="auto"/>
              <w:jc w:val="both"/>
              <w:rPr>
                <w:rFonts w:ascii="Arial" w:hAnsi="Arial" w:cs="Times New Roman"/>
                <w:szCs w:val="20"/>
                <w:lang w:val="en-GB"/>
              </w:rPr>
            </w:pPr>
          </w:p>
        </w:tc>
      </w:tr>
      <w:tr w:rsidR="00B369B4" w:rsidRPr="00720EBF">
        <w:trPr>
          <w:jc w:val="center"/>
        </w:trPr>
        <w:tc>
          <w:tcPr>
            <w:tcW w:w="2928" w:type="dxa"/>
            <w:vMerge w:val="restart"/>
            <w:vAlign w:val="center"/>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Country</w:t>
            </w: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American</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127</w:t>
            </w:r>
          </w:p>
        </w:tc>
        <w:tc>
          <w:tcPr>
            <w:tcW w:w="1513" w:type="dxa"/>
            <w:vMerge w:val="restart"/>
            <w:vAlign w:val="center"/>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158</w:t>
            </w: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szCs w:val="20"/>
                <w:lang w:val="en-GB"/>
              </w:rPr>
            </w:pP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Irish</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16</w:t>
            </w:r>
          </w:p>
        </w:tc>
        <w:tc>
          <w:tcPr>
            <w:tcW w:w="1513" w:type="dxa"/>
            <w:vMerge/>
          </w:tcPr>
          <w:p w:rsidR="00B369B4" w:rsidRPr="00720EBF" w:rsidRDefault="00B369B4" w:rsidP="000439F9">
            <w:pPr>
              <w:spacing w:line="360" w:lineRule="auto"/>
              <w:jc w:val="both"/>
              <w:rPr>
                <w:rFonts w:ascii="Arial" w:hAnsi="Arial" w:cs="Times New Roman"/>
                <w:szCs w:val="20"/>
                <w:lang w:val="en-GB"/>
              </w:rPr>
            </w:pPr>
          </w:p>
        </w:tc>
      </w:tr>
      <w:tr w:rsidR="00B369B4" w:rsidRPr="00720EBF">
        <w:trPr>
          <w:jc w:val="center"/>
        </w:trPr>
        <w:tc>
          <w:tcPr>
            <w:tcW w:w="2928" w:type="dxa"/>
            <w:vMerge/>
          </w:tcPr>
          <w:p w:rsidR="00B369B4" w:rsidRPr="00720EBF" w:rsidRDefault="00B369B4" w:rsidP="000439F9">
            <w:pPr>
              <w:spacing w:line="360" w:lineRule="auto"/>
              <w:jc w:val="both"/>
              <w:rPr>
                <w:rFonts w:ascii="Arial" w:hAnsi="Arial" w:cs="Times New Roman"/>
                <w:szCs w:val="20"/>
                <w:lang w:val="en-GB"/>
              </w:rPr>
            </w:pPr>
          </w:p>
        </w:tc>
        <w:tc>
          <w:tcPr>
            <w:tcW w:w="2067" w:type="dxa"/>
          </w:tcPr>
          <w:p w:rsidR="00B369B4" w:rsidRPr="00720EBF" w:rsidRDefault="00B369B4" w:rsidP="000439F9">
            <w:pPr>
              <w:spacing w:line="360" w:lineRule="auto"/>
              <w:jc w:val="both"/>
              <w:rPr>
                <w:rFonts w:ascii="Arial" w:hAnsi="Arial" w:cs="Times New Roman"/>
                <w:szCs w:val="20"/>
                <w:lang w:val="en-GB"/>
              </w:rPr>
            </w:pPr>
            <w:r w:rsidRPr="00720EBF">
              <w:rPr>
                <w:rFonts w:ascii="Arial" w:hAnsi="Arial" w:cs="Times New Roman"/>
                <w:szCs w:val="20"/>
                <w:lang w:val="en-GB"/>
              </w:rPr>
              <w:t>Portuguese</w:t>
            </w:r>
          </w:p>
        </w:tc>
        <w:tc>
          <w:tcPr>
            <w:tcW w:w="992" w:type="dxa"/>
          </w:tcPr>
          <w:p w:rsidR="00B369B4" w:rsidRPr="00720EBF" w:rsidRDefault="00B369B4" w:rsidP="000439F9">
            <w:pPr>
              <w:spacing w:line="360" w:lineRule="auto"/>
              <w:jc w:val="center"/>
              <w:rPr>
                <w:rFonts w:ascii="Arial" w:hAnsi="Arial" w:cs="Times New Roman"/>
                <w:szCs w:val="20"/>
                <w:lang w:val="en-GB"/>
              </w:rPr>
            </w:pPr>
            <w:r w:rsidRPr="00720EBF">
              <w:rPr>
                <w:rFonts w:ascii="Arial" w:hAnsi="Arial" w:cs="Times New Roman"/>
                <w:szCs w:val="20"/>
                <w:lang w:val="en-GB"/>
              </w:rPr>
              <w:t>15</w:t>
            </w:r>
          </w:p>
        </w:tc>
        <w:tc>
          <w:tcPr>
            <w:tcW w:w="1513" w:type="dxa"/>
            <w:vMerge/>
          </w:tcPr>
          <w:p w:rsidR="00B369B4" w:rsidRPr="00720EBF" w:rsidRDefault="00B369B4" w:rsidP="000439F9">
            <w:pPr>
              <w:spacing w:line="360" w:lineRule="auto"/>
              <w:jc w:val="both"/>
              <w:rPr>
                <w:rFonts w:ascii="Arial" w:hAnsi="Arial" w:cs="Times New Roman"/>
                <w:szCs w:val="20"/>
                <w:lang w:val="en-GB"/>
              </w:rPr>
            </w:pPr>
          </w:p>
        </w:tc>
      </w:tr>
    </w:tbl>
    <w:p w:rsidR="003662F2" w:rsidRPr="00720EBF" w:rsidRDefault="003662F2" w:rsidP="000439F9">
      <w:pPr>
        <w:spacing w:line="360" w:lineRule="auto"/>
        <w:jc w:val="both"/>
        <w:rPr>
          <w:rFonts w:ascii="Arial" w:hAnsi="Arial" w:cs="Times New Roman"/>
          <w:sz w:val="22"/>
          <w:lang w:val="en-GB"/>
        </w:rPr>
      </w:pPr>
    </w:p>
    <w:p w:rsidR="00EC7F63" w:rsidRPr="00720EBF" w:rsidRDefault="00EC7F63" w:rsidP="000439F9">
      <w:pPr>
        <w:spacing w:line="360" w:lineRule="auto"/>
        <w:rPr>
          <w:rFonts w:ascii="Arial" w:hAnsi="Arial"/>
          <w:b/>
          <w:sz w:val="22"/>
          <w:lang w:val="en-GB"/>
        </w:rPr>
      </w:pPr>
    </w:p>
    <w:p w:rsidR="00EC7F63" w:rsidRPr="00720EBF" w:rsidRDefault="00EC7F63" w:rsidP="000439F9">
      <w:pPr>
        <w:spacing w:line="360" w:lineRule="auto"/>
        <w:rPr>
          <w:rFonts w:ascii="Arial" w:hAnsi="Arial"/>
          <w:b/>
          <w:sz w:val="22"/>
          <w:lang w:val="en-GB"/>
        </w:rPr>
      </w:pPr>
      <w:r w:rsidRPr="00720EBF">
        <w:rPr>
          <w:rFonts w:ascii="Arial" w:hAnsi="Arial"/>
          <w:b/>
          <w:sz w:val="22"/>
          <w:lang w:val="en-GB"/>
        </w:rPr>
        <w:t>Findings</w:t>
      </w:r>
    </w:p>
    <w:p w:rsidR="00EC7F63" w:rsidRPr="00720EBF" w:rsidRDefault="00C72FEB" w:rsidP="002623BC">
      <w:pPr>
        <w:spacing w:line="360" w:lineRule="auto"/>
        <w:jc w:val="both"/>
        <w:rPr>
          <w:rFonts w:ascii="Arial" w:hAnsi="Arial"/>
          <w:sz w:val="22"/>
          <w:lang w:val="en-GB"/>
        </w:rPr>
      </w:pPr>
      <w:r w:rsidRPr="00720EBF">
        <w:rPr>
          <w:rFonts w:ascii="Arial" w:hAnsi="Arial"/>
          <w:sz w:val="22"/>
          <w:lang w:val="en-GB"/>
        </w:rPr>
        <w:t xml:space="preserve">Responses were very varied, some participants offering rich meanings for ratio and / or multiple representations, while others provided little information.  </w:t>
      </w:r>
      <w:r w:rsidR="00EC7F63" w:rsidRPr="00720EBF">
        <w:rPr>
          <w:rFonts w:ascii="Arial" w:hAnsi="Arial"/>
          <w:sz w:val="22"/>
          <w:lang w:val="en-GB"/>
        </w:rPr>
        <w:t xml:space="preserve">Findings are presented for </w:t>
      </w:r>
      <w:r w:rsidR="00F15AFA" w:rsidRPr="00720EBF">
        <w:rPr>
          <w:rFonts w:ascii="Arial" w:hAnsi="Arial"/>
          <w:sz w:val="22"/>
          <w:lang w:val="en-GB"/>
        </w:rPr>
        <w:t xml:space="preserve">instrument </w:t>
      </w:r>
      <w:r w:rsidR="00EC7F63" w:rsidRPr="00720EBF">
        <w:rPr>
          <w:rFonts w:ascii="Arial" w:hAnsi="Arial"/>
          <w:sz w:val="22"/>
          <w:lang w:val="en-GB"/>
        </w:rPr>
        <w:t>questions</w:t>
      </w:r>
      <w:r w:rsidR="00F11D9D" w:rsidRPr="00720EBF">
        <w:rPr>
          <w:rFonts w:ascii="Arial" w:hAnsi="Arial"/>
          <w:sz w:val="22"/>
          <w:lang w:val="en-GB"/>
        </w:rPr>
        <w:t xml:space="preserve"> </w:t>
      </w:r>
      <w:r w:rsidR="00EC7F63" w:rsidRPr="00720EBF">
        <w:rPr>
          <w:rFonts w:ascii="Arial" w:hAnsi="Arial"/>
          <w:sz w:val="22"/>
          <w:lang w:val="en-GB"/>
        </w:rPr>
        <w:t xml:space="preserve">1, 3 and 4 in turn.  They are described here in terms of response clusters that were identified from the coding process and frequency counts.  Emergent themes reflecting deeper analysis and comparison with the literature are presented in the </w:t>
      </w:r>
      <w:r w:rsidR="00FB73ED" w:rsidRPr="00720EBF">
        <w:rPr>
          <w:rFonts w:ascii="Arial" w:hAnsi="Arial"/>
          <w:sz w:val="22"/>
          <w:lang w:val="en-GB"/>
        </w:rPr>
        <w:t>following</w:t>
      </w:r>
      <w:r w:rsidR="00EC7F63" w:rsidRPr="00720EBF">
        <w:rPr>
          <w:rFonts w:ascii="Arial" w:hAnsi="Arial"/>
          <w:sz w:val="22"/>
          <w:lang w:val="en-GB"/>
        </w:rPr>
        <w:t xml:space="preserve"> section</w:t>
      </w:r>
      <w:r w:rsidR="00C6684A">
        <w:rPr>
          <w:rFonts w:ascii="Arial" w:hAnsi="Arial"/>
          <w:sz w:val="22"/>
          <w:lang w:val="en-GB"/>
        </w:rPr>
        <w:t>s</w:t>
      </w:r>
      <w:r w:rsidR="00EC7F63" w:rsidRPr="00720EBF">
        <w:rPr>
          <w:rFonts w:ascii="Arial" w:hAnsi="Arial"/>
          <w:sz w:val="22"/>
          <w:lang w:val="en-GB"/>
        </w:rPr>
        <w:t xml:space="preserve"> of the paper.  </w:t>
      </w:r>
    </w:p>
    <w:p w:rsidR="00EC7F63" w:rsidRPr="00720EBF" w:rsidRDefault="00EC7F63" w:rsidP="002623BC">
      <w:pPr>
        <w:spacing w:line="360" w:lineRule="auto"/>
        <w:jc w:val="both"/>
        <w:rPr>
          <w:rFonts w:ascii="Arial" w:hAnsi="Arial"/>
          <w:sz w:val="22"/>
          <w:lang w:val="en-GB"/>
        </w:rPr>
      </w:pPr>
    </w:p>
    <w:p w:rsidR="00EC7F63" w:rsidRPr="00720EBF" w:rsidRDefault="00EC7F63" w:rsidP="002623BC">
      <w:pPr>
        <w:spacing w:line="360" w:lineRule="auto"/>
        <w:jc w:val="both"/>
        <w:rPr>
          <w:rFonts w:ascii="Arial" w:hAnsi="Arial"/>
          <w:b/>
          <w:sz w:val="22"/>
          <w:lang w:val="en-GB"/>
        </w:rPr>
      </w:pPr>
      <w:r w:rsidRPr="00720EBF">
        <w:rPr>
          <w:rFonts w:ascii="Arial" w:hAnsi="Arial"/>
          <w:b/>
          <w:i/>
          <w:sz w:val="22"/>
          <w:lang w:val="en-GB"/>
        </w:rPr>
        <w:t>Question 1:  What does the term ‘ratio’ mean to you?</w:t>
      </w:r>
    </w:p>
    <w:p w:rsidR="00EC7F63" w:rsidRPr="00720EBF" w:rsidRDefault="00EC7F63" w:rsidP="002623BC">
      <w:pPr>
        <w:spacing w:line="360" w:lineRule="auto"/>
        <w:jc w:val="both"/>
        <w:rPr>
          <w:rFonts w:ascii="Arial" w:hAnsi="Arial"/>
          <w:i/>
          <w:sz w:val="22"/>
          <w:lang w:val="en-GB"/>
        </w:rPr>
      </w:pPr>
      <w:r w:rsidRPr="00720EBF">
        <w:rPr>
          <w:rFonts w:ascii="Arial" w:hAnsi="Arial"/>
          <w:i/>
          <w:sz w:val="22"/>
          <w:lang w:val="en-GB"/>
        </w:rPr>
        <w:t>Response cluster 1.1:  Comparison / relationship</w:t>
      </w:r>
    </w:p>
    <w:p w:rsidR="00EC7F63" w:rsidRPr="00720EBF" w:rsidRDefault="00EC7F63" w:rsidP="002623BC">
      <w:pPr>
        <w:spacing w:line="360" w:lineRule="auto"/>
        <w:jc w:val="both"/>
        <w:rPr>
          <w:rFonts w:ascii="Arial" w:hAnsi="Arial"/>
          <w:sz w:val="22"/>
          <w:lang w:val="en-GB"/>
        </w:rPr>
      </w:pPr>
      <w:r w:rsidRPr="00720EBF">
        <w:rPr>
          <w:rFonts w:ascii="Arial" w:hAnsi="Arial"/>
          <w:sz w:val="22"/>
          <w:lang w:val="en-GB"/>
        </w:rPr>
        <w:t>Many responses included mention of comparison or relationship.   Participants used words or phrases such as ‘compare’, ’comparison, ‘compared to’ or (to a lesser extent) ‘relationship’, ‘related’.  Portuguese participants were less likely than were American or Irish participants to use this category.</w:t>
      </w:r>
    </w:p>
    <w:p w:rsidR="00EC7F63" w:rsidRPr="00720EBF" w:rsidRDefault="00EC7F63" w:rsidP="002623BC">
      <w:pPr>
        <w:spacing w:line="360" w:lineRule="auto"/>
        <w:jc w:val="both"/>
        <w:rPr>
          <w:rFonts w:ascii="Arial" w:hAnsi="Arial"/>
          <w:sz w:val="22"/>
          <w:lang w:val="en-GB"/>
        </w:rPr>
      </w:pPr>
    </w:p>
    <w:p w:rsidR="00EC7F63" w:rsidRPr="00720EBF" w:rsidRDefault="00EC7F63" w:rsidP="002623BC">
      <w:pPr>
        <w:spacing w:line="360" w:lineRule="auto"/>
        <w:jc w:val="both"/>
        <w:rPr>
          <w:rFonts w:ascii="Arial" w:hAnsi="Arial"/>
          <w:i/>
          <w:sz w:val="22"/>
          <w:lang w:val="en-GB"/>
        </w:rPr>
      </w:pPr>
      <w:r w:rsidRPr="00720EBF">
        <w:rPr>
          <w:rFonts w:ascii="Arial" w:hAnsi="Arial"/>
          <w:i/>
          <w:sz w:val="22"/>
          <w:lang w:val="en-GB"/>
        </w:rPr>
        <w:t xml:space="preserve">Response cluster 1.2:  Fraction / percentage / proportion / splitting </w:t>
      </w:r>
    </w:p>
    <w:p w:rsidR="00EC7F63" w:rsidRPr="00720EBF" w:rsidRDefault="00EC7F63" w:rsidP="002623BC">
      <w:pPr>
        <w:spacing w:line="360" w:lineRule="auto"/>
        <w:jc w:val="both"/>
        <w:rPr>
          <w:rFonts w:ascii="Arial" w:hAnsi="Arial"/>
          <w:sz w:val="22"/>
          <w:lang w:val="en-GB"/>
        </w:rPr>
      </w:pPr>
      <w:r w:rsidRPr="00720EBF">
        <w:rPr>
          <w:rFonts w:ascii="Arial" w:hAnsi="Arial"/>
          <w:sz w:val="22"/>
          <w:lang w:val="en-GB"/>
        </w:rPr>
        <w:t>A second theme reflected in many responses referred to topics typically associated with elementary or junior second level curricula:  fractions, percentage, prop</w:t>
      </w:r>
      <w:r w:rsidR="001F464D" w:rsidRPr="00720EBF">
        <w:rPr>
          <w:rFonts w:ascii="Arial" w:hAnsi="Arial"/>
          <w:sz w:val="22"/>
          <w:lang w:val="en-GB"/>
        </w:rPr>
        <w:t>ortion and splitting (as in ‘a</w:t>
      </w:r>
      <w:r w:rsidRPr="00720EBF">
        <w:rPr>
          <w:rFonts w:ascii="Arial" w:hAnsi="Arial"/>
          <w:sz w:val="22"/>
          <w:lang w:val="en-GB"/>
        </w:rPr>
        <w:t xml:space="preserve"> bag of 15 sweets is divided between John and Jane in the ratio 2</w:t>
      </w:r>
      <w:r w:rsidR="00FC3EDC">
        <w:rPr>
          <w:rFonts w:ascii="Arial" w:hAnsi="Arial"/>
          <w:sz w:val="22"/>
          <w:lang w:val="en-GB"/>
        </w:rPr>
        <w:t xml:space="preserve"> </w:t>
      </w:r>
      <w:r w:rsidRPr="00720EBF">
        <w:rPr>
          <w:rFonts w:ascii="Arial" w:hAnsi="Arial"/>
          <w:sz w:val="22"/>
          <w:lang w:val="en-GB"/>
        </w:rPr>
        <w:t>:</w:t>
      </w:r>
      <w:r w:rsidR="00FC3EDC">
        <w:rPr>
          <w:rFonts w:ascii="Arial" w:hAnsi="Arial"/>
          <w:sz w:val="22"/>
          <w:lang w:val="en-GB"/>
        </w:rPr>
        <w:t xml:space="preserve"> </w:t>
      </w:r>
      <w:r w:rsidRPr="00720EBF">
        <w:rPr>
          <w:rFonts w:ascii="Arial" w:hAnsi="Arial"/>
          <w:sz w:val="22"/>
          <w:lang w:val="en-GB"/>
        </w:rPr>
        <w:t>3; how many does each child get?’).</w:t>
      </w:r>
    </w:p>
    <w:p w:rsidR="00EC7F63" w:rsidRPr="00720EBF" w:rsidRDefault="00EC7F63" w:rsidP="002623BC">
      <w:pPr>
        <w:spacing w:line="360" w:lineRule="auto"/>
        <w:jc w:val="both"/>
        <w:rPr>
          <w:rFonts w:ascii="Arial" w:hAnsi="Arial"/>
          <w:sz w:val="22"/>
          <w:lang w:val="en-GB"/>
        </w:rPr>
      </w:pPr>
    </w:p>
    <w:p w:rsidR="00EC7F63" w:rsidRPr="00720EBF" w:rsidRDefault="00EC7F63" w:rsidP="002623BC">
      <w:pPr>
        <w:spacing w:line="360" w:lineRule="auto"/>
        <w:jc w:val="both"/>
        <w:rPr>
          <w:rFonts w:ascii="Arial" w:hAnsi="Arial"/>
          <w:i/>
          <w:sz w:val="22"/>
          <w:lang w:val="en-GB"/>
        </w:rPr>
      </w:pPr>
      <w:r w:rsidRPr="00720EBF">
        <w:rPr>
          <w:rFonts w:ascii="Arial" w:hAnsi="Arial"/>
          <w:i/>
          <w:sz w:val="22"/>
          <w:lang w:val="en-GB"/>
        </w:rPr>
        <w:t xml:space="preserve">Response cluster 1.3:  Other </w:t>
      </w:r>
    </w:p>
    <w:p w:rsidR="00EC7F63" w:rsidRPr="00720EBF" w:rsidRDefault="00EC7F63" w:rsidP="002623BC">
      <w:pPr>
        <w:spacing w:line="360" w:lineRule="auto"/>
        <w:jc w:val="both"/>
        <w:rPr>
          <w:rFonts w:ascii="Arial" w:hAnsi="Arial"/>
          <w:sz w:val="22"/>
          <w:lang w:val="en-GB"/>
        </w:rPr>
      </w:pPr>
      <w:r w:rsidRPr="00720EBF">
        <w:rPr>
          <w:rFonts w:ascii="Arial" w:hAnsi="Arial"/>
          <w:sz w:val="22"/>
          <w:lang w:val="en-GB"/>
        </w:rPr>
        <w:t>Occasional references were made to rate, scale and odds.</w:t>
      </w:r>
    </w:p>
    <w:p w:rsidR="00EC7F63" w:rsidRPr="00720EBF" w:rsidRDefault="00EC7F63" w:rsidP="002623BC">
      <w:pPr>
        <w:spacing w:line="360" w:lineRule="auto"/>
        <w:jc w:val="both"/>
        <w:rPr>
          <w:rFonts w:ascii="Arial" w:hAnsi="Arial"/>
          <w:sz w:val="22"/>
          <w:lang w:val="en-GB"/>
        </w:rPr>
      </w:pPr>
    </w:p>
    <w:p w:rsidR="00EC7F63" w:rsidRPr="00720EBF" w:rsidRDefault="00EC7F63" w:rsidP="00081465">
      <w:pPr>
        <w:spacing w:line="360" w:lineRule="auto"/>
        <w:jc w:val="both"/>
        <w:rPr>
          <w:rFonts w:ascii="Arial" w:hAnsi="Arial"/>
          <w:b/>
          <w:sz w:val="22"/>
          <w:lang w:val="en-GB"/>
        </w:rPr>
      </w:pPr>
      <w:r w:rsidRPr="00720EBF">
        <w:rPr>
          <w:rFonts w:ascii="Arial" w:hAnsi="Arial"/>
          <w:b/>
          <w:i/>
          <w:sz w:val="22"/>
          <w:lang w:val="en-GB"/>
        </w:rPr>
        <w:t>Question 3:  How do you represent a ratio using mathematical symbols?</w:t>
      </w:r>
    </w:p>
    <w:p w:rsidR="00EC7F63" w:rsidRPr="00720EBF" w:rsidRDefault="00EC7F63" w:rsidP="00081465">
      <w:pPr>
        <w:spacing w:line="360" w:lineRule="auto"/>
        <w:jc w:val="both"/>
        <w:rPr>
          <w:rFonts w:ascii="Arial" w:hAnsi="Arial"/>
          <w:i/>
          <w:sz w:val="22"/>
          <w:lang w:val="en-GB"/>
        </w:rPr>
      </w:pPr>
      <w:r w:rsidRPr="00720EBF">
        <w:rPr>
          <w:rFonts w:ascii="Arial" w:hAnsi="Arial"/>
          <w:i/>
          <w:sz w:val="22"/>
          <w:lang w:val="en-GB"/>
        </w:rPr>
        <w:t>Response cluster 3.1:  Use of the colon or equivalent notation</w:t>
      </w:r>
    </w:p>
    <w:p w:rsidR="00EC7F63" w:rsidRPr="00720EBF" w:rsidRDefault="00EC7F63" w:rsidP="00081465">
      <w:pPr>
        <w:spacing w:line="360" w:lineRule="auto"/>
        <w:jc w:val="both"/>
        <w:rPr>
          <w:rFonts w:ascii="Arial" w:hAnsi="Arial"/>
          <w:sz w:val="22"/>
        </w:rPr>
      </w:pPr>
      <w:r w:rsidRPr="00720EBF">
        <w:rPr>
          <w:rFonts w:ascii="Arial" w:hAnsi="Arial"/>
          <w:sz w:val="22"/>
          <w:lang w:val="en-GB"/>
        </w:rPr>
        <w:t>The most usual response involved th</w:t>
      </w:r>
      <w:r w:rsidR="00CB0C15">
        <w:rPr>
          <w:rFonts w:ascii="Arial" w:hAnsi="Arial"/>
          <w:sz w:val="22"/>
          <w:lang w:val="en-GB"/>
        </w:rPr>
        <w:t>e colon (:) notation,</w:t>
      </w:r>
      <w:r w:rsidRPr="00720EBF">
        <w:rPr>
          <w:rFonts w:ascii="Arial" w:hAnsi="Arial"/>
          <w:sz w:val="22"/>
          <w:lang w:val="en-GB"/>
        </w:rPr>
        <w:t xml:space="preserve"> </w:t>
      </w:r>
      <w:r w:rsidR="00301831" w:rsidRPr="00720EBF">
        <w:rPr>
          <w:rFonts w:ascii="Arial" w:hAnsi="Arial"/>
          <w:sz w:val="22"/>
          <w:lang w:val="en-GB"/>
        </w:rPr>
        <w:t xml:space="preserve">either </w:t>
      </w:r>
      <w:r w:rsidR="00CB0C15">
        <w:rPr>
          <w:rFonts w:ascii="Arial" w:hAnsi="Arial"/>
          <w:sz w:val="22"/>
          <w:lang w:val="en-GB"/>
        </w:rPr>
        <w:t>on its own,</w:t>
      </w:r>
      <w:r w:rsidRPr="00720EBF">
        <w:rPr>
          <w:rFonts w:ascii="Arial" w:hAnsi="Arial"/>
          <w:sz w:val="22"/>
          <w:lang w:val="en-GB"/>
        </w:rPr>
        <w:t xml:space="preserve"> or in the form </w:t>
      </w:r>
      <w:r w:rsidRPr="00720EBF">
        <w:rPr>
          <w:rFonts w:ascii="Arial" w:hAnsi="Arial"/>
          <w:sz w:val="22"/>
        </w:rPr>
        <w:t xml:space="preserve">___: ___ (such as </w:t>
      </w:r>
      <w:r w:rsidRPr="00CB0C15">
        <w:rPr>
          <w:rFonts w:ascii="Arial" w:hAnsi="Arial"/>
          <w:i/>
          <w:sz w:val="22"/>
        </w:rPr>
        <w:t>x</w:t>
      </w:r>
      <w:r w:rsidR="00CB0C15">
        <w:rPr>
          <w:rFonts w:ascii="Arial" w:hAnsi="Arial"/>
          <w:sz w:val="22"/>
        </w:rPr>
        <w:t xml:space="preserve"> </w:t>
      </w:r>
      <w:r w:rsidRPr="00720EBF">
        <w:rPr>
          <w:rFonts w:ascii="Arial" w:hAnsi="Arial"/>
          <w:sz w:val="22"/>
        </w:rPr>
        <w:t xml:space="preserve">: </w:t>
      </w:r>
      <w:r w:rsidRPr="00CB0C15">
        <w:rPr>
          <w:rFonts w:ascii="Arial" w:hAnsi="Arial"/>
          <w:i/>
          <w:sz w:val="22"/>
        </w:rPr>
        <w:t>y</w:t>
      </w:r>
      <w:r w:rsidRPr="00720EBF">
        <w:rPr>
          <w:rFonts w:ascii="Arial" w:hAnsi="Arial"/>
          <w:sz w:val="22"/>
        </w:rPr>
        <w:t xml:space="preserve"> or </w:t>
      </w:r>
      <w:r w:rsidR="004C42B9" w:rsidRPr="00720EBF">
        <w:rPr>
          <w:rFonts w:ascii="Arial" w:hAnsi="Arial"/>
          <w:sz w:val="22"/>
        </w:rPr>
        <w:t>3</w:t>
      </w:r>
      <w:r w:rsidR="00FC3EDC">
        <w:rPr>
          <w:rFonts w:ascii="Arial" w:hAnsi="Arial"/>
          <w:sz w:val="22"/>
        </w:rPr>
        <w:t xml:space="preserve"> </w:t>
      </w:r>
      <w:r w:rsidR="004C42B9" w:rsidRPr="00720EBF">
        <w:rPr>
          <w:rFonts w:ascii="Arial" w:hAnsi="Arial"/>
          <w:sz w:val="22"/>
        </w:rPr>
        <w:t>:</w:t>
      </w:r>
      <w:r w:rsidR="00FC3EDC">
        <w:rPr>
          <w:rFonts w:ascii="Arial" w:hAnsi="Arial"/>
          <w:sz w:val="22"/>
        </w:rPr>
        <w:t xml:space="preserve"> </w:t>
      </w:r>
      <w:r w:rsidR="004C42B9" w:rsidRPr="00720EBF">
        <w:rPr>
          <w:rFonts w:ascii="Arial" w:hAnsi="Arial"/>
          <w:sz w:val="22"/>
        </w:rPr>
        <w:t xml:space="preserve">2).  In some cases, the word </w:t>
      </w:r>
      <w:r w:rsidRPr="00720EBF">
        <w:rPr>
          <w:rFonts w:ascii="Arial" w:hAnsi="Arial"/>
          <w:sz w:val="22"/>
        </w:rPr>
        <w:t xml:space="preserve">‘to’ replaced the colon.  Usually it was the only notation </w:t>
      </w:r>
      <w:r w:rsidR="00F11D9D" w:rsidRPr="00720EBF">
        <w:rPr>
          <w:rFonts w:ascii="Arial" w:hAnsi="Arial"/>
          <w:sz w:val="22"/>
        </w:rPr>
        <w:t>offered</w:t>
      </w:r>
      <w:r w:rsidRPr="00720EBF">
        <w:rPr>
          <w:rFonts w:ascii="Arial" w:hAnsi="Arial"/>
          <w:sz w:val="22"/>
        </w:rPr>
        <w:t xml:space="preserve"> (with or without the provision of examples).  All the Irish participants included the colon notation in their responses, though one did so incorrectly.    </w:t>
      </w:r>
      <w:r w:rsidR="002623BC">
        <w:rPr>
          <w:rFonts w:ascii="Arial" w:hAnsi="Arial"/>
          <w:sz w:val="22"/>
        </w:rPr>
        <w:t>This</w:t>
      </w:r>
      <w:r w:rsidR="007F7530" w:rsidRPr="00720EBF">
        <w:rPr>
          <w:rFonts w:ascii="Arial" w:hAnsi="Arial"/>
          <w:sz w:val="22"/>
        </w:rPr>
        <w:t xml:space="preserve"> notation was frequently used by the American participants also. </w:t>
      </w:r>
    </w:p>
    <w:p w:rsidR="00EC7F63" w:rsidRPr="00720EBF" w:rsidRDefault="00EC7F63" w:rsidP="00081465">
      <w:pPr>
        <w:spacing w:line="360" w:lineRule="auto"/>
        <w:jc w:val="both"/>
        <w:rPr>
          <w:rFonts w:ascii="Arial" w:hAnsi="Arial"/>
          <w:sz w:val="22"/>
        </w:rPr>
      </w:pPr>
    </w:p>
    <w:p w:rsidR="00EC7F63" w:rsidRPr="00720EBF" w:rsidRDefault="00EC7F63" w:rsidP="00081465">
      <w:pPr>
        <w:spacing w:line="360" w:lineRule="auto"/>
        <w:jc w:val="both"/>
        <w:rPr>
          <w:rFonts w:ascii="Arial" w:hAnsi="Arial"/>
          <w:i/>
          <w:sz w:val="22"/>
        </w:rPr>
      </w:pPr>
      <w:r w:rsidRPr="00720EBF">
        <w:rPr>
          <w:rFonts w:ascii="Arial" w:hAnsi="Arial"/>
          <w:i/>
          <w:sz w:val="22"/>
        </w:rPr>
        <w:t>Response cluster 3.2:  Fractions</w:t>
      </w:r>
    </w:p>
    <w:p w:rsidR="00EC7F63" w:rsidRPr="00720EBF" w:rsidRDefault="00EC7F63" w:rsidP="00081465">
      <w:pPr>
        <w:spacing w:line="360" w:lineRule="auto"/>
        <w:jc w:val="both"/>
        <w:rPr>
          <w:rFonts w:ascii="Arial" w:hAnsi="Arial"/>
          <w:sz w:val="22"/>
          <w:lang w:val="en-GB"/>
        </w:rPr>
      </w:pPr>
      <w:r w:rsidRPr="00720EBF">
        <w:rPr>
          <w:rFonts w:ascii="Arial" w:hAnsi="Arial"/>
          <w:sz w:val="22"/>
          <w:lang w:val="en-GB"/>
        </w:rPr>
        <w:t xml:space="preserve">Some participants used fraction notation.  This was notably prevalent amongst Portuguese participants. </w:t>
      </w:r>
    </w:p>
    <w:p w:rsidR="00EC7F63" w:rsidRPr="00720EBF" w:rsidRDefault="00EC7F63" w:rsidP="00081465">
      <w:pPr>
        <w:spacing w:line="360" w:lineRule="auto"/>
        <w:jc w:val="both"/>
        <w:rPr>
          <w:rFonts w:ascii="Arial" w:hAnsi="Arial"/>
          <w:sz w:val="22"/>
          <w:lang w:val="en-GB"/>
        </w:rPr>
      </w:pPr>
    </w:p>
    <w:p w:rsidR="00EC7F63" w:rsidRPr="00720EBF" w:rsidRDefault="00EC7F63" w:rsidP="00081465">
      <w:pPr>
        <w:spacing w:line="360" w:lineRule="auto"/>
        <w:jc w:val="both"/>
        <w:rPr>
          <w:rFonts w:ascii="Arial" w:hAnsi="Arial"/>
          <w:sz w:val="22"/>
          <w:lang w:val="en-GB"/>
        </w:rPr>
      </w:pPr>
      <w:r w:rsidRPr="00720EBF">
        <w:rPr>
          <w:rFonts w:ascii="Arial" w:hAnsi="Arial"/>
          <w:sz w:val="22"/>
          <w:lang w:val="en-GB"/>
        </w:rPr>
        <w:t>There were few other responses.</w:t>
      </w:r>
    </w:p>
    <w:p w:rsidR="00EC7F63" w:rsidRPr="00720EBF" w:rsidRDefault="00EC7F63" w:rsidP="00081465">
      <w:pPr>
        <w:spacing w:line="360" w:lineRule="auto"/>
        <w:jc w:val="both"/>
        <w:rPr>
          <w:rFonts w:ascii="Arial" w:hAnsi="Arial"/>
          <w:sz w:val="22"/>
          <w:lang w:val="en-GB"/>
        </w:rPr>
      </w:pPr>
    </w:p>
    <w:p w:rsidR="00EC7F63" w:rsidRPr="00720EBF" w:rsidRDefault="00EC7F63" w:rsidP="00081465">
      <w:pPr>
        <w:spacing w:line="360" w:lineRule="auto"/>
        <w:jc w:val="both"/>
        <w:rPr>
          <w:rFonts w:ascii="Arial" w:hAnsi="Arial"/>
          <w:b/>
          <w:i/>
          <w:sz w:val="22"/>
          <w:lang w:val="en-GB"/>
        </w:rPr>
      </w:pPr>
      <w:r w:rsidRPr="00720EBF">
        <w:rPr>
          <w:rFonts w:ascii="Arial" w:hAnsi="Arial"/>
          <w:b/>
          <w:i/>
          <w:sz w:val="22"/>
          <w:lang w:val="en-GB"/>
        </w:rPr>
        <w:t xml:space="preserve">Question 4:  Draw several representations of how ratios are used </w:t>
      </w:r>
    </w:p>
    <w:p w:rsidR="00EC7F63" w:rsidRPr="00720EBF" w:rsidRDefault="00EC7F63" w:rsidP="00081465">
      <w:pPr>
        <w:spacing w:line="360" w:lineRule="auto"/>
        <w:jc w:val="both"/>
        <w:rPr>
          <w:rFonts w:ascii="Arial" w:hAnsi="Arial"/>
          <w:sz w:val="22"/>
          <w:lang w:val="en-GB"/>
        </w:rPr>
      </w:pPr>
      <w:r w:rsidRPr="00720EBF">
        <w:rPr>
          <w:rFonts w:ascii="Arial" w:hAnsi="Arial"/>
          <w:sz w:val="22"/>
          <w:lang w:val="en-GB"/>
        </w:rPr>
        <w:t>Responses here can be divided into two categories, depending on whether or not the participants interpreted the word ‘draw’ literally or chose to provide written or symbolic responses.  It should be noted also that several students made no response to this question.</w:t>
      </w:r>
    </w:p>
    <w:p w:rsidR="00EC7F63" w:rsidRPr="00720EBF" w:rsidRDefault="00EC7F63" w:rsidP="00081465">
      <w:pPr>
        <w:spacing w:line="360" w:lineRule="auto"/>
        <w:jc w:val="both"/>
        <w:rPr>
          <w:rFonts w:ascii="Arial" w:hAnsi="Arial"/>
          <w:sz w:val="22"/>
          <w:lang w:val="en-GB"/>
        </w:rPr>
      </w:pPr>
    </w:p>
    <w:p w:rsidR="008750B8" w:rsidRDefault="008750B8" w:rsidP="00081465">
      <w:pPr>
        <w:spacing w:line="360" w:lineRule="auto"/>
        <w:jc w:val="both"/>
        <w:rPr>
          <w:rFonts w:ascii="Arial" w:hAnsi="Arial"/>
          <w:i/>
          <w:sz w:val="22"/>
          <w:lang w:val="en-GB"/>
        </w:rPr>
      </w:pPr>
    </w:p>
    <w:p w:rsidR="00FF3BD5" w:rsidRPr="00720EBF" w:rsidRDefault="00FF3BD5" w:rsidP="00081465">
      <w:pPr>
        <w:spacing w:line="360" w:lineRule="auto"/>
        <w:jc w:val="both"/>
        <w:rPr>
          <w:rFonts w:ascii="Arial" w:hAnsi="Arial"/>
          <w:i/>
          <w:sz w:val="22"/>
          <w:lang w:val="en-GB"/>
        </w:rPr>
      </w:pPr>
      <w:r w:rsidRPr="00720EBF">
        <w:rPr>
          <w:rFonts w:ascii="Arial" w:hAnsi="Arial"/>
          <w:i/>
          <w:sz w:val="22"/>
          <w:lang w:val="en-GB"/>
        </w:rPr>
        <w:t>Response cluster 4.1:  Drawings, diagrams and other pictorial representations</w:t>
      </w:r>
    </w:p>
    <w:p w:rsidR="00F15AFA" w:rsidRPr="00720EBF" w:rsidRDefault="00EC7F63" w:rsidP="00081465">
      <w:pPr>
        <w:spacing w:line="360" w:lineRule="auto"/>
        <w:jc w:val="both"/>
        <w:rPr>
          <w:rFonts w:ascii="Arial" w:hAnsi="Arial"/>
          <w:sz w:val="22"/>
          <w:lang w:val="en-GB"/>
        </w:rPr>
      </w:pPr>
      <w:r w:rsidRPr="00720EBF">
        <w:rPr>
          <w:rFonts w:ascii="Arial" w:hAnsi="Arial"/>
          <w:sz w:val="22"/>
          <w:lang w:val="en-GB"/>
        </w:rPr>
        <w:t>This cluster displayed considerable variety.  One form of response reflected numerical comparisons or representati</w:t>
      </w:r>
      <w:r w:rsidR="00FB73ED" w:rsidRPr="00720EBF">
        <w:rPr>
          <w:rFonts w:ascii="Arial" w:hAnsi="Arial"/>
          <w:sz w:val="22"/>
          <w:lang w:val="en-GB"/>
        </w:rPr>
        <w:t>ons and is illustrated in Fig. 2</w:t>
      </w:r>
      <w:r w:rsidRPr="00720EBF">
        <w:rPr>
          <w:rFonts w:ascii="Arial" w:hAnsi="Arial"/>
          <w:sz w:val="22"/>
          <w:lang w:val="en-GB"/>
        </w:rPr>
        <w:t xml:space="preserve">. </w:t>
      </w:r>
      <w:r w:rsidR="00F15AFA" w:rsidRPr="00720EBF">
        <w:rPr>
          <w:rFonts w:ascii="Arial" w:hAnsi="Arial"/>
          <w:sz w:val="22"/>
          <w:lang w:val="en-GB"/>
        </w:rPr>
        <w:t xml:space="preserve">Other responses in this figure indicated comparisons of one and two variables usually reflecting an everyday context. </w:t>
      </w:r>
    </w:p>
    <w:p w:rsidR="00EC7F63" w:rsidRPr="00720EBF" w:rsidRDefault="00EC7F63" w:rsidP="000439F9">
      <w:pPr>
        <w:spacing w:line="360" w:lineRule="auto"/>
        <w:rPr>
          <w:rFonts w:ascii="Arial" w:hAnsi="Arial"/>
          <w:sz w:val="22"/>
          <w:lang w:val="en-GB"/>
        </w:rPr>
      </w:pPr>
    </w:p>
    <w:p w:rsidR="00B412F9" w:rsidRPr="0002661A" w:rsidRDefault="00B412F9" w:rsidP="0002661A">
      <w:pPr>
        <w:spacing w:line="360" w:lineRule="auto"/>
        <w:jc w:val="center"/>
        <w:rPr>
          <w:rFonts w:ascii="Arial" w:hAnsi="Arial"/>
          <w:sz w:val="22"/>
        </w:rPr>
      </w:pPr>
      <w:r w:rsidRPr="00B412F9">
        <w:rPr>
          <w:rFonts w:ascii="Arial" w:hAnsi="Arial"/>
          <w:b/>
          <w:sz w:val="22"/>
        </w:rPr>
        <w:t>Fig. 2:</w:t>
      </w:r>
      <w:r w:rsidRPr="00B412F9">
        <w:rPr>
          <w:rFonts w:ascii="Arial" w:hAnsi="Arial"/>
          <w:sz w:val="22"/>
        </w:rPr>
        <w:t xml:space="preserve">  Examples of numerical comparisons and representations</w:t>
      </w:r>
    </w:p>
    <w:p w:rsidR="00B412F9" w:rsidRDefault="00B412F9" w:rsidP="00B412F9">
      <w:pPr>
        <w:spacing w:line="360" w:lineRule="auto"/>
        <w:jc w:val="center"/>
        <w:rPr>
          <w:rFonts w:ascii="Times New Roman" w:hAnsi="Times New Roman"/>
          <w:b/>
        </w:rPr>
      </w:pPr>
      <w:r w:rsidRPr="004A74D5">
        <w:rPr>
          <w:rFonts w:ascii="Times New Roman" w:hAnsi="Times New Roman"/>
          <w:b/>
          <w:noProof/>
        </w:rPr>
        <w:drawing>
          <wp:inline distT="0" distB="0" distL="0" distR="0">
            <wp:extent cx="2048289" cy="326004"/>
            <wp:effectExtent l="19050" t="0" r="9111"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45573" cy="608022"/>
                      <a:chOff x="1351473" y="1452358"/>
                      <a:chExt cx="3845573" cy="608022"/>
                    </a:xfrm>
                  </a:grpSpPr>
                  <a:grpSp>
                    <a:nvGrpSpPr>
                      <a:cNvPr id="55299" name="Group 3"/>
                      <a:cNvGrpSpPr>
                        <a:grpSpLocks/>
                      </a:cNvGrpSpPr>
                    </a:nvGrpSpPr>
                    <a:grpSpPr bwMode="auto">
                      <a:xfrm>
                        <a:off x="1351473" y="1609530"/>
                        <a:ext cx="1349375" cy="450850"/>
                        <a:chOff x="5040" y="1460"/>
                        <a:chExt cx="2125" cy="710"/>
                      </a:xfrm>
                    </a:grpSpPr>
                    <a:sp>
                      <a:nvSpPr>
                        <a:cNvPr id="55300" name="Oval 4"/>
                        <a:cNvSpPr>
                          <a:spLocks noChangeArrowheads="1"/>
                        </a:cNvSpPr>
                      </a:nvSpPr>
                      <a:spPr bwMode="auto">
                        <a:xfrm>
                          <a:off x="5040" y="1620"/>
                          <a:ext cx="347" cy="312"/>
                        </a:xfrm>
                        <a:prstGeom prst="ellipse">
                          <a:avLst/>
                        </a:prstGeom>
                        <a:solidFill>
                          <a:srgbClr val="FFFF00"/>
                        </a:solidFill>
                        <a:ln w="19050">
                          <a:solidFill>
                            <a:schemeClr val="tx1"/>
                          </a:solidFill>
                          <a:round/>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55301" name="Text Box 5"/>
                        <a:cNvSpPr txBox="1">
                          <a:spLocks noChangeArrowheads="1"/>
                        </a:cNvSpPr>
                      </a:nvSpPr>
                      <a:spPr bwMode="auto">
                        <a:xfrm>
                          <a:off x="5400" y="1460"/>
                          <a:ext cx="360" cy="710"/>
                        </a:xfrm>
                        <a:prstGeom prst="rect">
                          <a:avLst/>
                        </a:prstGeom>
                        <a:noFill/>
                        <a:ln w="9525">
                          <a:noFill/>
                          <a:miter lim="800000"/>
                          <a:headEnd/>
                          <a:tailEnd/>
                        </a:ln>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2000" b="1" i="0" u="none" strike="noStrike" cap="none" normalizeH="0" baseline="0">
                                <a:ln>
                                  <a:noFill/>
                                </a:ln>
                                <a:solidFill>
                                  <a:schemeClr val="tx1"/>
                                </a:solidFill>
                                <a:effectLst/>
                                <a:latin typeface="Cambria" charset="0"/>
                                <a:ea typeface="Times New Roman" charset="0"/>
                              </a:rPr>
                              <a:t>:    </a:t>
                            </a:r>
                          </a:p>
                        </a:txBody>
                        <a:useSpRect/>
                      </a:txSp>
                    </a:sp>
                    <a:sp>
                      <a:nvSpPr>
                        <a:cNvPr id="55302" name="Oval 6"/>
                        <a:cNvSpPr>
                          <a:spLocks noChangeArrowheads="1"/>
                        </a:cNvSpPr>
                      </a:nvSpPr>
                      <a:spPr bwMode="auto">
                        <a:xfrm>
                          <a:off x="5873" y="1613"/>
                          <a:ext cx="347" cy="312"/>
                        </a:xfrm>
                        <a:prstGeom prst="ellipse">
                          <a:avLst/>
                        </a:prstGeom>
                        <a:solidFill>
                          <a:srgbClr val="FFFF00"/>
                        </a:solidFill>
                        <a:ln w="19050">
                          <a:solidFill>
                            <a:schemeClr val="tx1"/>
                          </a:solidFill>
                          <a:round/>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55303" name="Oval 7"/>
                        <a:cNvSpPr>
                          <a:spLocks noChangeArrowheads="1"/>
                        </a:cNvSpPr>
                      </a:nvSpPr>
                      <a:spPr bwMode="auto">
                        <a:xfrm>
                          <a:off x="6355" y="1613"/>
                          <a:ext cx="347" cy="312"/>
                        </a:xfrm>
                        <a:prstGeom prst="ellipse">
                          <a:avLst/>
                        </a:prstGeom>
                        <a:solidFill>
                          <a:srgbClr val="FFFF00"/>
                        </a:solidFill>
                        <a:ln w="19050">
                          <a:solidFill>
                            <a:schemeClr val="tx1"/>
                          </a:solidFill>
                          <a:round/>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55304" name="Oval 8"/>
                        <a:cNvSpPr>
                          <a:spLocks noChangeArrowheads="1"/>
                        </a:cNvSpPr>
                      </a:nvSpPr>
                      <a:spPr bwMode="auto">
                        <a:xfrm>
                          <a:off x="6818" y="1613"/>
                          <a:ext cx="347" cy="312"/>
                        </a:xfrm>
                        <a:prstGeom prst="ellipse">
                          <a:avLst/>
                        </a:prstGeom>
                        <a:solidFill>
                          <a:srgbClr val="FFFF00"/>
                        </a:solidFill>
                        <a:ln w="19050">
                          <a:solidFill>
                            <a:schemeClr val="tx1"/>
                          </a:solidFill>
                          <a:round/>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sp>
                    <a:nvSpPr>
                      <a:cNvPr id="32" name="TextBox 31"/>
                      <a:cNvSpPr txBox="1"/>
                    </a:nvSpPr>
                    <a:spPr>
                      <a:xfrm>
                        <a:off x="3349833" y="1452358"/>
                        <a:ext cx="1847213" cy="430887"/>
                      </a:xfrm>
                      <a:prstGeom prst="rect">
                        <a:avLst/>
                      </a:prstGeom>
                      <a:solidFill>
                        <a:schemeClr val="tx2">
                          <a:lumMod val="60000"/>
                          <a:lumOff val="40000"/>
                        </a:schemeClr>
                      </a:solid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2200" dirty="0" smtClean="0">
                              <a:solidFill>
                                <a:schemeClr val="bg1"/>
                              </a:solidFill>
                              <a:latin typeface="Times New Roman"/>
                            </a:rPr>
                            <a:t>One variable?</a:t>
                          </a:r>
                        </a:p>
                      </a:txBody>
                      <a:useSpRect/>
                    </a:txSp>
                  </a:sp>
                </lc:lockedCanvas>
              </a:graphicData>
            </a:graphic>
          </wp:inline>
        </w:drawing>
      </w:r>
    </w:p>
    <w:p w:rsidR="00B412F9" w:rsidRDefault="00B412F9" w:rsidP="00B412F9">
      <w:pPr>
        <w:spacing w:line="360" w:lineRule="auto"/>
        <w:rPr>
          <w:rFonts w:ascii="Times New Roman" w:hAnsi="Times New Roman"/>
          <w:b/>
        </w:rPr>
      </w:pPr>
    </w:p>
    <w:p w:rsidR="00B412F9" w:rsidRDefault="00B412F9" w:rsidP="00B412F9">
      <w:pPr>
        <w:spacing w:line="360" w:lineRule="auto"/>
        <w:jc w:val="center"/>
        <w:rPr>
          <w:rFonts w:ascii="Times New Roman" w:hAnsi="Times New Roman"/>
          <w:b/>
        </w:rPr>
      </w:pPr>
      <w:r w:rsidRPr="00D01079">
        <w:rPr>
          <w:rFonts w:ascii="Times New Roman" w:hAnsi="Times New Roman"/>
          <w:b/>
          <w:noProof/>
        </w:rPr>
        <w:drawing>
          <wp:inline distT="0" distB="0" distL="0" distR="0">
            <wp:extent cx="2138901" cy="214685"/>
            <wp:effectExtent l="0" t="0" r="0" b="0"/>
            <wp:docPr id="5"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829913" cy="430887"/>
                      <a:chOff x="1498575" y="2619008"/>
                      <a:chExt cx="3829913" cy="430887"/>
                    </a:xfrm>
                  </a:grpSpPr>
                  <a:sp>
                    <a:nvSpPr>
                      <a:cNvPr id="55305" name="AutoShape 9"/>
                      <a:cNvSpPr>
                        <a:spLocks noChangeArrowheads="1"/>
                      </a:cNvSpPr>
                    </a:nvSpPr>
                    <a:spPr bwMode="auto">
                      <a:xfrm>
                        <a:off x="1498575" y="2716722"/>
                        <a:ext cx="228600" cy="228600"/>
                      </a:xfrm>
                      <a:prstGeom prst="triangle">
                        <a:avLst>
                          <a:gd name="adj" fmla="val 50000"/>
                        </a:avLst>
                      </a:prstGeom>
                      <a:solidFill>
                        <a:srgbClr val="FFFF00"/>
                      </a:solidFill>
                      <a:ln w="19050">
                        <a:solidFill>
                          <a:srgbClr val="000000"/>
                        </a:solidFill>
                        <a:miter lim="800000"/>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55306" name="Rectangle 10"/>
                      <a:cNvSpPr>
                        <a:spLocks noChangeArrowheads="1"/>
                      </a:cNvSpPr>
                    </a:nvSpPr>
                    <a:spPr bwMode="auto">
                      <a:xfrm>
                        <a:off x="2485545" y="2711960"/>
                        <a:ext cx="228600" cy="228600"/>
                      </a:xfrm>
                      <a:prstGeom prst="rect">
                        <a:avLst/>
                      </a:prstGeom>
                      <a:solidFill>
                        <a:srgbClr val="FFFF00"/>
                      </a:solidFill>
                      <a:ln w="19050">
                        <a:solidFill>
                          <a:srgbClr val="000000"/>
                        </a:solidFill>
                        <a:miter lim="800000"/>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15" name="Rectangle 14"/>
                      <a:cNvSpPr/>
                    </a:nvSpPr>
                    <a:spPr>
                      <a:xfrm>
                        <a:off x="1788120" y="2651658"/>
                        <a:ext cx="673945" cy="369332"/>
                      </a:xfrm>
                      <a:prstGeom prst="rect">
                        <a:avLst/>
                      </a:prstGeom>
                    </a:spPr>
                    <a:txSp>
                      <a:txBody>
                        <a:bodyPr wrap="none">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en-US" dirty="0" smtClean="0"/>
                            <a:t>[to/:]</a:t>
                          </a:r>
                          <a:r>
                            <a:rPr lang="en-GB" dirty="0" smtClean="0"/>
                            <a:t> </a:t>
                          </a:r>
                          <a:endParaRPr lang="en-US" dirty="0"/>
                        </a:p>
                      </a:txBody>
                      <a:useSpRect/>
                    </a:txSp>
                  </a:sp>
                  <a:sp>
                    <a:nvSpPr>
                      <a:cNvPr id="33" name="TextBox 32"/>
                      <a:cNvSpPr txBox="1"/>
                    </a:nvSpPr>
                    <a:spPr>
                      <a:xfrm>
                        <a:off x="3481275" y="2619008"/>
                        <a:ext cx="1847213" cy="430887"/>
                      </a:xfrm>
                      <a:prstGeom prst="rect">
                        <a:avLst/>
                      </a:prstGeom>
                      <a:solidFill>
                        <a:schemeClr val="tx2">
                          <a:lumMod val="60000"/>
                          <a:lumOff val="40000"/>
                        </a:schemeClr>
                      </a:solid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2200" dirty="0" smtClean="0">
                              <a:solidFill>
                                <a:schemeClr val="bg1"/>
                              </a:solidFill>
                              <a:latin typeface="Times New Roman"/>
                            </a:rPr>
                            <a:t>Two variables</a:t>
                          </a:r>
                        </a:p>
                      </a:txBody>
                      <a:useSpRect/>
                    </a:txSp>
                  </a:sp>
                  <a:sp>
                    <a:nvSpPr>
                      <a:cNvPr id="31" name="Rectangle 10"/>
                      <a:cNvSpPr>
                        <a:spLocks noChangeArrowheads="1"/>
                      </a:cNvSpPr>
                    </a:nvSpPr>
                    <a:spPr bwMode="auto">
                      <a:xfrm>
                        <a:off x="2793975" y="2711960"/>
                        <a:ext cx="228600" cy="228600"/>
                      </a:xfrm>
                      <a:prstGeom prst="rect">
                        <a:avLst/>
                      </a:prstGeom>
                      <a:solidFill>
                        <a:srgbClr val="FFFF00"/>
                      </a:solidFill>
                      <a:ln w="19050">
                        <a:solidFill>
                          <a:srgbClr val="000000"/>
                        </a:solidFill>
                        <a:miter lim="800000"/>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lc:lockedCanvas>
              </a:graphicData>
            </a:graphic>
          </wp:inline>
        </w:drawing>
      </w:r>
    </w:p>
    <w:p w:rsidR="00B412F9" w:rsidRDefault="00B412F9" w:rsidP="00B412F9">
      <w:pPr>
        <w:spacing w:line="360" w:lineRule="auto"/>
        <w:jc w:val="center"/>
        <w:rPr>
          <w:rFonts w:ascii="Times New Roman" w:hAnsi="Times New Roman"/>
          <w:b/>
        </w:rPr>
      </w:pPr>
    </w:p>
    <w:p w:rsidR="00B412F9" w:rsidRDefault="00B412F9" w:rsidP="00B412F9">
      <w:pPr>
        <w:spacing w:line="360" w:lineRule="auto"/>
        <w:jc w:val="center"/>
        <w:rPr>
          <w:rFonts w:ascii="Times New Roman" w:hAnsi="Times New Roman"/>
          <w:b/>
        </w:rPr>
      </w:pPr>
      <w:r w:rsidRPr="009364ED">
        <w:rPr>
          <w:rFonts w:ascii="Times New Roman" w:hAnsi="Times New Roman"/>
          <w:b/>
          <w:noProof/>
        </w:rPr>
        <w:drawing>
          <wp:inline distT="0" distB="0" distL="0" distR="0">
            <wp:extent cx="4537047" cy="564542"/>
            <wp:effectExtent l="19050" t="0" r="0" b="0"/>
            <wp:docPr id="8"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968462" cy="1024467"/>
                      <a:chOff x="214853" y="3368660"/>
                      <a:chExt cx="7968462" cy="1024467"/>
                    </a:xfrm>
                  </a:grpSpPr>
                  <a:grpSp>
                    <a:nvGrpSpPr>
                      <a:cNvPr id="38" name="Group 37"/>
                      <a:cNvGrpSpPr/>
                    </a:nvGrpSpPr>
                    <a:grpSpPr>
                      <a:xfrm>
                        <a:off x="214853" y="3368660"/>
                        <a:ext cx="7968462" cy="1024467"/>
                        <a:chOff x="214853" y="3368660"/>
                        <a:chExt cx="7968462" cy="1024467"/>
                      </a:xfrm>
                    </a:grpSpPr>
                    <a:pic>
                      <a:nvPicPr>
                        <a:cNvPr id="0" name="Object 2"/>
                        <a:cNvPicPr>
                          <a:picLocks noChangeAspect="1" noChangeArrowheads="1"/>
                        </a:cNvPicPr>
                      </a:nvPicPr>
                      <a:blipFill>
                        <a:blip r:embed="rId7"/>
                        <a:srcRect/>
                        <a:stretch>
                          <a:fillRect/>
                        </a:stretch>
                      </a:blipFill>
                      <a:spPr bwMode="auto">
                        <a:xfrm>
                          <a:off x="214313" y="3368675"/>
                          <a:ext cx="7904162" cy="1023938"/>
                        </a:xfrm>
                        <a:prstGeom prst="rect">
                          <a:avLst/>
                        </a:prstGeom>
                        <a:noFill/>
                        <a:ln w="9525">
                          <a:miter lim="800000"/>
                          <a:headEnd/>
                          <a:tailEnd/>
                        </a:ln>
                      </a:spPr>
                    </a:pic>
                    <a:sp>
                      <a:nvSpPr>
                        <a:cNvPr id="34" name="TextBox 33"/>
                        <a:cNvSpPr txBox="1"/>
                      </a:nvSpPr>
                      <a:spPr>
                        <a:xfrm>
                          <a:off x="4061689" y="3672114"/>
                          <a:ext cx="4121626" cy="430887"/>
                        </a:xfrm>
                        <a:prstGeom prst="rect">
                          <a:avLst/>
                        </a:prstGeom>
                        <a:solidFill>
                          <a:schemeClr val="tx2">
                            <a:lumMod val="60000"/>
                            <a:lumOff val="40000"/>
                          </a:schemeClr>
                        </a:solid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2200" dirty="0" smtClean="0">
                                <a:solidFill>
                                  <a:schemeClr val="bg1"/>
                                </a:solidFill>
                                <a:latin typeface="Times New Roman"/>
                              </a:rPr>
                              <a:t>Two </a:t>
                            </a:r>
                            <a:r>
                              <a:rPr lang="en-US" sz="2200" dirty="0" smtClean="0">
                                <a:solidFill>
                                  <a:schemeClr val="bg1"/>
                                </a:solidFill>
                                <a:latin typeface="Times New Roman"/>
                              </a:rPr>
                              <a:t>variables with labels</a:t>
                            </a:r>
                            <a:endParaRPr lang="en-US" sz="2200" dirty="0" smtClean="0">
                              <a:solidFill>
                                <a:schemeClr val="bg1"/>
                              </a:solidFill>
                              <a:latin typeface="Times New Roman"/>
                            </a:endParaRPr>
                          </a:p>
                        </a:txBody>
                        <a:useSpRect/>
                      </a:txSp>
                    </a:sp>
                  </a:grpSp>
                </lc:lockedCanvas>
              </a:graphicData>
            </a:graphic>
          </wp:inline>
        </w:drawing>
      </w:r>
    </w:p>
    <w:p w:rsidR="00B412F9" w:rsidRDefault="00B412F9" w:rsidP="00B412F9">
      <w:pPr>
        <w:spacing w:line="360" w:lineRule="auto"/>
        <w:jc w:val="center"/>
        <w:rPr>
          <w:rFonts w:ascii="Times New Roman" w:hAnsi="Times New Roman"/>
          <w:b/>
        </w:rPr>
      </w:pPr>
    </w:p>
    <w:p w:rsidR="00B412F9" w:rsidRDefault="00B412F9" w:rsidP="00B412F9">
      <w:pPr>
        <w:spacing w:line="360" w:lineRule="auto"/>
        <w:jc w:val="center"/>
        <w:rPr>
          <w:rFonts w:ascii="Times New Roman" w:hAnsi="Times New Roman"/>
          <w:b/>
        </w:rPr>
      </w:pPr>
      <w:r w:rsidRPr="00D01079">
        <w:rPr>
          <w:rFonts w:ascii="Times New Roman" w:hAnsi="Times New Roman"/>
          <w:b/>
          <w:noProof/>
        </w:rPr>
        <w:drawing>
          <wp:inline distT="0" distB="0" distL="0" distR="0">
            <wp:extent cx="1924216" cy="667909"/>
            <wp:effectExtent l="19050" t="0" r="0" b="0"/>
            <wp:docPr id="9"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66922" cy="1151252"/>
                      <a:chOff x="6350006" y="2217408"/>
                      <a:chExt cx="3466922" cy="1151252"/>
                    </a:xfrm>
                  </a:grpSpPr>
                  <a:grpSp>
                    <a:nvGrpSpPr>
                      <a:cNvPr id="55308" name="Group 12"/>
                      <a:cNvGrpSpPr>
                        <a:grpSpLocks/>
                      </a:cNvGrpSpPr>
                    </a:nvGrpSpPr>
                    <a:grpSpPr bwMode="auto">
                      <a:xfrm>
                        <a:off x="6350006" y="2217408"/>
                        <a:ext cx="1206499" cy="1151252"/>
                        <a:chOff x="5760" y="8416"/>
                        <a:chExt cx="1080" cy="1075"/>
                      </a:xfrm>
                    </a:grpSpPr>
                    <a:sp>
                      <a:nvSpPr>
                        <a:cNvPr id="55309" name="Rectangle 13"/>
                        <a:cNvSpPr>
                          <a:spLocks noChangeArrowheads="1"/>
                        </a:cNvSpPr>
                      </a:nvSpPr>
                      <a:spPr bwMode="auto">
                        <a:xfrm>
                          <a:off x="5760" y="8416"/>
                          <a:ext cx="1080" cy="360"/>
                        </a:xfrm>
                        <a:prstGeom prst="rect">
                          <a:avLst/>
                        </a:prstGeom>
                        <a:solidFill>
                          <a:srgbClr val="9BBB59"/>
                        </a:solidFill>
                        <a:ln w="19050">
                          <a:solidFill>
                            <a:srgbClr val="000000"/>
                          </a:solidFill>
                          <a:miter lim="800000"/>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55310" name="Rectangle 14"/>
                        <a:cNvSpPr>
                          <a:spLocks noChangeArrowheads="1"/>
                        </a:cNvSpPr>
                      </a:nvSpPr>
                      <a:spPr bwMode="auto">
                        <a:xfrm>
                          <a:off x="5760" y="8791"/>
                          <a:ext cx="1080" cy="360"/>
                        </a:xfrm>
                        <a:prstGeom prst="rect">
                          <a:avLst/>
                        </a:prstGeom>
                        <a:noFill/>
                        <a:ln w="19050">
                          <a:solidFill>
                            <a:srgbClr val="000000"/>
                          </a:solidFill>
                          <a:miter lim="800000"/>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sp>
                      <a:nvSpPr>
                        <a:cNvPr id="55311" name="Rectangle 15"/>
                        <a:cNvSpPr>
                          <a:spLocks noChangeArrowheads="1"/>
                        </a:cNvSpPr>
                      </a:nvSpPr>
                      <a:spPr bwMode="auto">
                        <a:xfrm>
                          <a:off x="5760" y="9131"/>
                          <a:ext cx="1080" cy="360"/>
                        </a:xfrm>
                        <a:prstGeom prst="rect">
                          <a:avLst/>
                        </a:prstGeom>
                        <a:noFill/>
                        <a:ln w="19050">
                          <a:solidFill>
                            <a:srgbClr val="000000"/>
                          </a:solidFill>
                          <a:miter lim="800000"/>
                          <a:headEnd/>
                          <a:tailEnd/>
                        </a:ln>
                        <a:effectLst>
                          <a:outerShdw blurRad="63500" dist="26940" dir="5400000" algn="ctr" rotWithShape="0">
                            <a:srgbClr val="000000">
                              <a:alpha val="35001"/>
                            </a:srgbClr>
                          </a:outerShdw>
                        </a:effectLst>
                      </a:spPr>
                      <a:txSp>
                        <a:txBody>
                          <a:bodyPr vert="horz" wrap="square" lIns="91440" tIns="91440" rIns="91440" bIns="91440" numCol="1" anchor="t" anchorCtr="0" compatLnSpc="1">
                            <a:prstTxWarp prst="textNoShape">
                              <a:avLst/>
                            </a:prstTxWarp>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endParaRPr lang="en-US"/>
                          </a:p>
                        </a:txBody>
                        <a:useSpRect/>
                      </a:txSp>
                    </a:sp>
                  </a:grpSp>
                  <a:sp>
                    <a:nvSpPr>
                      <a:cNvPr id="36" name="TextBox 35"/>
                      <a:cNvSpPr txBox="1"/>
                    </a:nvSpPr>
                    <a:spPr>
                      <a:xfrm>
                        <a:off x="7969715" y="2552237"/>
                        <a:ext cx="1847213" cy="430887"/>
                      </a:xfrm>
                      <a:prstGeom prst="rect">
                        <a:avLst/>
                      </a:prstGeom>
                      <a:solidFill>
                        <a:schemeClr val="accent6">
                          <a:lumMod val="75000"/>
                        </a:schemeClr>
                      </a:solidFill>
                      <a:ln>
                        <a:solidFill>
                          <a:schemeClr val="tx1"/>
                        </a:solidFill>
                      </a:ln>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sz="2200" dirty="0" smtClean="0">
                              <a:solidFill>
                                <a:schemeClr val="bg1"/>
                              </a:solidFill>
                              <a:latin typeface="Times New Roman"/>
                            </a:rPr>
                            <a:t>Part-whole</a:t>
                          </a:r>
                        </a:p>
                      </a:txBody>
                      <a:useSpRect/>
                    </a:txSp>
                  </a:sp>
                </lc:lockedCanvas>
              </a:graphicData>
            </a:graphic>
          </wp:inline>
        </w:drawing>
      </w:r>
    </w:p>
    <w:p w:rsidR="00EC7F63" w:rsidRPr="00720EBF" w:rsidRDefault="00EC7F63" w:rsidP="00B412F9">
      <w:pPr>
        <w:spacing w:line="360" w:lineRule="auto"/>
        <w:rPr>
          <w:rFonts w:ascii="Arial" w:hAnsi="Arial"/>
          <w:sz w:val="22"/>
          <w:lang w:val="en-GB"/>
        </w:rPr>
      </w:pPr>
    </w:p>
    <w:p w:rsidR="00DB0457" w:rsidRPr="00720EBF" w:rsidRDefault="00EC7F63" w:rsidP="00081465">
      <w:pPr>
        <w:spacing w:line="360" w:lineRule="auto"/>
        <w:jc w:val="both"/>
        <w:rPr>
          <w:rFonts w:ascii="Arial" w:hAnsi="Arial"/>
          <w:sz w:val="22"/>
          <w:lang w:val="en-GB"/>
        </w:rPr>
      </w:pPr>
      <w:r w:rsidRPr="00720EBF">
        <w:rPr>
          <w:rFonts w:ascii="Arial" w:hAnsi="Arial"/>
          <w:sz w:val="22"/>
          <w:lang w:val="en-GB"/>
        </w:rPr>
        <w:t>A second form of response – not used by many participants – showed a mathematical diagram or chart, reflecting geometrical properties (for example similarity) or statistical presentation (for example a bar chart highlighting relative heights of bars</w:t>
      </w:r>
      <w:r w:rsidR="00D43ABB" w:rsidRPr="00720EBF">
        <w:rPr>
          <w:rFonts w:ascii="Arial" w:hAnsi="Arial"/>
          <w:sz w:val="22"/>
          <w:lang w:val="en-GB"/>
        </w:rPr>
        <w:t>).  Examples are shown in Fig. 3</w:t>
      </w:r>
      <w:r w:rsidRPr="00720EBF">
        <w:rPr>
          <w:rFonts w:ascii="Arial" w:hAnsi="Arial"/>
          <w:sz w:val="22"/>
          <w:lang w:val="en-GB"/>
        </w:rPr>
        <w:t>.</w:t>
      </w:r>
    </w:p>
    <w:p w:rsidR="0002661A" w:rsidRPr="0002661A" w:rsidRDefault="0002661A" w:rsidP="0002661A">
      <w:pPr>
        <w:spacing w:line="360" w:lineRule="auto"/>
        <w:jc w:val="center"/>
        <w:rPr>
          <w:rFonts w:ascii="Arial" w:hAnsi="Arial"/>
          <w:sz w:val="22"/>
        </w:rPr>
      </w:pPr>
      <w:r w:rsidRPr="0002661A">
        <w:rPr>
          <w:rFonts w:ascii="Arial" w:hAnsi="Arial"/>
          <w:b/>
          <w:sz w:val="22"/>
        </w:rPr>
        <w:t>Fig. 3:</w:t>
      </w:r>
      <w:r w:rsidRPr="0002661A">
        <w:rPr>
          <w:rFonts w:ascii="Arial" w:hAnsi="Arial"/>
          <w:sz w:val="22"/>
        </w:rPr>
        <w:t xml:space="preserve">  Examples of mathematical diagrams and charts</w:t>
      </w:r>
    </w:p>
    <w:p w:rsidR="0002661A" w:rsidRDefault="0002661A" w:rsidP="0002661A">
      <w:pPr>
        <w:spacing w:line="360" w:lineRule="auto"/>
        <w:jc w:val="center"/>
        <w:rPr>
          <w:rFonts w:ascii="Times New Roman" w:hAnsi="Times New Roman"/>
          <w:b/>
        </w:rPr>
      </w:pPr>
      <w:r w:rsidRPr="00D01079">
        <w:rPr>
          <w:rFonts w:ascii="Times New Roman" w:hAnsi="Times New Roman"/>
          <w:b/>
          <w:noProof/>
        </w:rPr>
        <w:drawing>
          <wp:inline distT="0" distB="0" distL="0" distR="0">
            <wp:extent cx="2782957" cy="1566407"/>
            <wp:effectExtent l="0" t="0" r="0" b="0"/>
            <wp:docPr id="13"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71629" cy="2486525"/>
                      <a:chOff x="659145" y="1417638"/>
                      <a:chExt cx="4471629" cy="2486525"/>
                    </a:xfrm>
                  </a:grpSpPr>
                  <a:sp>
                    <a:nvSpPr>
                      <a:cNvPr id="4" name="Triângulo isósceles 3"/>
                      <a:cNvSpPr/>
                    </a:nvSpPr>
                    <a:spPr>
                      <a:xfrm>
                        <a:off x="3035293" y="2374900"/>
                        <a:ext cx="1060704" cy="914400"/>
                      </a:xfrm>
                      <a:prstGeom prst="triangle">
                        <a:avLst/>
                      </a:prstGeom>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pt-PT"/>
                        </a:p>
                      </a:txBody>
                      <a:useSpRect/>
                    </a:txSp>
                    <a:style>
                      <a:lnRef idx="1">
                        <a:schemeClr val="accent1"/>
                      </a:lnRef>
                      <a:fillRef idx="3">
                        <a:schemeClr val="accent1"/>
                      </a:fillRef>
                      <a:effectRef idx="2">
                        <a:schemeClr val="accent1"/>
                      </a:effectRef>
                      <a:fontRef idx="minor">
                        <a:schemeClr val="lt1"/>
                      </a:fontRef>
                    </a:style>
                  </a:sp>
                  <a:pic>
                    <a:nvPicPr>
                      <a:cNvPr id="1026" name="Picture 2"/>
                      <a:cNvPicPr>
                        <a:picLocks noGrp="1" noChangeAspect="1" noChangeArrowheads="1"/>
                      </a:cNvPicPr>
                    </a:nvPicPr>
                    <a:blipFill>
                      <a:blip r:embed="rId8">
                        <a:extLst>
                          <a:ext uri="{28A0092B-C50C-407E-A947-70E740481C1C}">
                            <a14:useLocalDpi xmlns:mo="http://schemas.microsoft.com/office/mac/office/2008/main" xmlns:ve="http://schemas.openxmlformats.org/markup-compatibility/2006" xmlns:mv="urn:schemas-microsoft-com:mac:vml" xmlns:a14="http://schemas.microsoft.com/office/drawing/2010/main" xmlns:lc="http://schemas.openxmlformats.org/drawingml/2006/lockedCanva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a:blipFill>
                    <a:spPr bwMode="auto">
                      <a:xfrm>
                        <a:off x="659145" y="1756968"/>
                        <a:ext cx="2015522" cy="1760931"/>
                      </a:xfrm>
                      <a:prstGeom prst="rect">
                        <a:avLst/>
                      </a:prstGeom>
                      <a:noFill/>
                      <a:ln>
                        <a:noFill/>
                      </a:ln>
                      <a:effectLst/>
                      <a:extLst>
                        <a:ext uri="{909E8E84-426E-40DD-AFC4-6F175D3DCCD1}">
                          <a14:hiddenFill xmlns:mo="http://schemas.microsoft.com/office/mac/office/2008/main" xmlns:ve="http://schemas.openxmlformats.org/markup-compatibility/2006" xmlns:mv="urn:schemas-microsoft-com:mac:vml" xmlns:a14="http://schemas.microsoft.com/office/drawing/2010/main" xmlns:lc="http://schemas.openxmlformats.org/drawingml/2006/lockedCanva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solidFill>
                              <a:schemeClr val="accent1"/>
                            </a:solidFill>
                          </a14:hiddenFill>
                        </a:ext>
                        <a:ext uri="{91240B29-F687-4F45-9708-019B960494DF}">
                          <a14:hiddenLine xmlns:mo="http://schemas.microsoft.com/office/mac/office/2008/main" xmlns:ve="http://schemas.openxmlformats.org/markup-compatibility/2006" xmlns:mv="urn:schemas-microsoft-com:mac:vml" xmlns:a14="http://schemas.microsoft.com/office/drawing/2010/main" xmlns:lc="http://schemas.openxmlformats.org/drawingml/2006/lockedCanva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w="9525">
                            <a:solidFill>
                              <a:schemeClr val="tx1"/>
                            </a:solidFill>
                            <a:miter lim="800000"/>
                            <a:headEnd/>
                            <a:tailEnd/>
                          </a14:hiddenLine>
                        </a:ext>
                        <a:ext uri="{AF507438-7753-43E0-B8FC-AC1667EBCBE1}">
                          <a14:hiddenEffects xmlns:mo="http://schemas.microsoft.com/office/mac/office/2008/main" xmlns:ve="http://schemas.openxmlformats.org/markup-compatibility/2006" xmlns:mv="urn:schemas-microsoft-com:mac:vml" xmlns:a14="http://schemas.microsoft.com/office/drawing/2010/main" xmlns:lc="http://schemas.openxmlformats.org/drawingml/2006/lockedCanvas"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a:effectLst>
                              <a:outerShdw dist="35921" dir="2700000" algn="ctr" rotWithShape="0">
                                <a:schemeClr val="bg2"/>
                              </a:outerShdw>
                            </a:effectLst>
                          </a14:hiddenEffects>
                        </a:ext>
                      </a:extLst>
                    </a:spPr>
                  </a:pic>
                  <a:sp>
                    <a:nvSpPr>
                      <a:cNvPr id="9" name="CaixaDeTexto 8"/>
                      <a:cNvSpPr txBox="1"/>
                    </a:nvSpPr>
                    <a:spPr>
                      <a:xfrm>
                        <a:off x="849648" y="2222500"/>
                        <a:ext cx="420352"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6</a:t>
                          </a:r>
                          <a:endParaRPr lang="pt-PT" dirty="0"/>
                        </a:p>
                      </a:txBody>
                      <a:useSpRect/>
                    </a:txSp>
                  </a:sp>
                  <a:sp>
                    <a:nvSpPr>
                      <a:cNvPr id="10" name="CaixaDeTexto 9"/>
                      <a:cNvSpPr txBox="1"/>
                    </a:nvSpPr>
                    <a:spPr>
                      <a:xfrm>
                        <a:off x="2281765" y="2235200"/>
                        <a:ext cx="3302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6</a:t>
                          </a:r>
                          <a:endParaRPr lang="pt-PT" dirty="0"/>
                        </a:p>
                      </a:txBody>
                      <a:useSpRect/>
                    </a:txSp>
                  </a:sp>
                  <a:sp>
                    <a:nvSpPr>
                      <a:cNvPr id="11" name="CaixaDeTexto 10"/>
                      <a:cNvSpPr txBox="1"/>
                    </a:nvSpPr>
                    <a:spPr>
                      <a:xfrm>
                        <a:off x="1549400" y="3534831"/>
                        <a:ext cx="7366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6</a:t>
                          </a:r>
                          <a:endParaRPr lang="pt-PT" dirty="0"/>
                        </a:p>
                      </a:txBody>
                      <a:useSpRect/>
                    </a:txSp>
                  </a:sp>
                  <a:sp>
                    <a:nvSpPr>
                      <a:cNvPr id="12" name="CaixaDeTexto 11"/>
                      <a:cNvSpPr txBox="1"/>
                    </a:nvSpPr>
                    <a:spPr>
                      <a:xfrm>
                        <a:off x="3026828" y="2604532"/>
                        <a:ext cx="3175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3</a:t>
                          </a:r>
                          <a:endParaRPr lang="pt-PT" dirty="0"/>
                        </a:p>
                      </a:txBody>
                      <a:useSpRect/>
                    </a:txSp>
                  </a:sp>
                  <a:sp>
                    <a:nvSpPr>
                      <a:cNvPr id="13" name="CaixaDeTexto 12"/>
                      <a:cNvSpPr txBox="1"/>
                    </a:nvSpPr>
                    <a:spPr>
                      <a:xfrm>
                        <a:off x="4119030" y="2604532"/>
                        <a:ext cx="3937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3</a:t>
                          </a:r>
                          <a:endParaRPr lang="pt-PT" dirty="0"/>
                        </a:p>
                      </a:txBody>
                      <a:useSpRect/>
                    </a:txSp>
                  </a:sp>
                  <a:sp>
                    <a:nvSpPr>
                      <a:cNvPr id="14" name="CaixaDeTexto 13"/>
                      <a:cNvSpPr txBox="1"/>
                    </a:nvSpPr>
                    <a:spPr>
                      <a:xfrm>
                        <a:off x="3390894" y="3369733"/>
                        <a:ext cx="5588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3</a:t>
                          </a:r>
                          <a:endParaRPr lang="pt-PT" dirty="0"/>
                        </a:p>
                      </a:txBody>
                      <a:useSpRect/>
                    </a:txSp>
                  </a:sp>
                  <a:sp>
                    <a:nvSpPr>
                      <a:cNvPr id="15" name="CaixaDeTexto 14"/>
                      <a:cNvSpPr txBox="1"/>
                    </a:nvSpPr>
                    <a:spPr>
                      <a:xfrm>
                        <a:off x="2679674" y="1572302"/>
                        <a:ext cx="24511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Razão  = </a:t>
                          </a:r>
                          <a:endParaRPr lang="pt-PT" dirty="0"/>
                        </a:p>
                      </a:txBody>
                      <a:useSpRect/>
                    </a:txSp>
                  </a:sp>
                  <a:cxnSp>
                    <a:nvCxnSpPr>
                      <a:cNvPr id="17" name="Conexão recta 16"/>
                      <a:cNvCxnSpPr/>
                    </a:nvCxnSpPr>
                    <a:spPr>
                      <a:xfrm>
                        <a:off x="3809959" y="1857850"/>
                        <a:ext cx="431800" cy="0"/>
                      </a:xfrm>
                      <a:prstGeom prst="line">
                        <a:avLst/>
                      </a:prstGeom>
                      <a:ln>
                        <a:solidFill>
                          <a:schemeClr val="tx1"/>
                        </a:solidFill>
                      </a:ln>
                    </a:spPr>
                    <a:style>
                      <a:lnRef idx="2">
                        <a:schemeClr val="accent1"/>
                      </a:lnRef>
                      <a:fillRef idx="0">
                        <a:schemeClr val="accent1"/>
                      </a:fillRef>
                      <a:effectRef idx="1">
                        <a:schemeClr val="accent1"/>
                      </a:effectRef>
                      <a:fontRef idx="minor">
                        <a:schemeClr val="tx1"/>
                      </a:fontRef>
                    </a:style>
                  </a:cxnSp>
                  <a:sp>
                    <a:nvSpPr>
                      <a:cNvPr id="18" name="CaixaDeTexto 17"/>
                      <a:cNvSpPr txBox="1"/>
                    </a:nvSpPr>
                    <a:spPr>
                      <a:xfrm>
                        <a:off x="3840997" y="1994292"/>
                        <a:ext cx="457200"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2</a:t>
                          </a:r>
                          <a:endParaRPr lang="pt-PT" dirty="0"/>
                        </a:p>
                      </a:txBody>
                      <a:useSpRect/>
                    </a:txSp>
                  </a:sp>
                  <a:sp>
                    <a:nvSpPr>
                      <a:cNvPr id="19" name="CaixaDeTexto 18"/>
                      <a:cNvSpPr txBox="1"/>
                    </a:nvSpPr>
                    <a:spPr>
                      <a:xfrm>
                        <a:off x="3809959" y="1417638"/>
                        <a:ext cx="399143" cy="369332"/>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r>
                            <a:rPr lang="pt-PT" dirty="0" smtClean="0"/>
                            <a:t>1</a:t>
                          </a:r>
                          <a:endParaRPr lang="pt-PT" dirty="0"/>
                        </a:p>
                      </a:txBody>
                      <a:useSpRect/>
                    </a:txSp>
                  </a:sp>
                </lc:lockedCanvas>
              </a:graphicData>
            </a:graphic>
          </wp:inline>
        </w:drawing>
      </w:r>
      <w:r w:rsidR="000B26C0" w:rsidRPr="00D01079">
        <w:rPr>
          <w:rFonts w:ascii="Times New Roman" w:hAnsi="Times New Roman"/>
          <w:b/>
          <w:noProof/>
        </w:rPr>
        <w:drawing>
          <wp:inline distT="0" distB="0" distL="0" distR="0">
            <wp:extent cx="2312656" cy="1562986"/>
            <wp:effectExtent l="25400" t="25400" r="24144" b="11814"/>
            <wp:docPr id="16"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b/>
        </w:rPr>
        <w:t xml:space="preserve">  </w:t>
      </w:r>
    </w:p>
    <w:p w:rsidR="00EC7F63" w:rsidRPr="00720EBF" w:rsidRDefault="00EC7F63" w:rsidP="0002661A">
      <w:pPr>
        <w:spacing w:line="360" w:lineRule="auto"/>
        <w:rPr>
          <w:rFonts w:ascii="Arial" w:hAnsi="Arial"/>
          <w:sz w:val="22"/>
          <w:lang w:val="en-GB"/>
        </w:rPr>
      </w:pPr>
    </w:p>
    <w:p w:rsidR="00EC7F63" w:rsidRPr="00720EBF" w:rsidRDefault="00EC7F63" w:rsidP="00081465">
      <w:pPr>
        <w:spacing w:line="360" w:lineRule="auto"/>
        <w:jc w:val="both"/>
        <w:rPr>
          <w:rFonts w:ascii="Arial" w:hAnsi="Arial"/>
          <w:sz w:val="22"/>
          <w:lang w:val="en-GB"/>
        </w:rPr>
      </w:pPr>
      <w:r w:rsidRPr="00720EBF">
        <w:rPr>
          <w:rFonts w:ascii="Arial" w:hAnsi="Arial"/>
          <w:sz w:val="22"/>
          <w:lang w:val="en-GB"/>
        </w:rPr>
        <w:t xml:space="preserve">A few participants tried to capture the idea of scale, for example by sketching a map.   Finally, some participants provided drawings that illustrated applications of ratio – for example cookery, architecture and design.  In some cases the drawings were labelled with numbers or algebraic labels so as to make the ratio aspects explicit.  </w:t>
      </w:r>
    </w:p>
    <w:p w:rsidR="00EC7F63" w:rsidRPr="00720EBF" w:rsidRDefault="00EC7F63" w:rsidP="00081465">
      <w:pPr>
        <w:spacing w:line="360" w:lineRule="auto"/>
        <w:jc w:val="both"/>
        <w:rPr>
          <w:rFonts w:ascii="Arial" w:hAnsi="Arial"/>
          <w:sz w:val="22"/>
          <w:lang w:val="en-GB"/>
        </w:rPr>
      </w:pPr>
    </w:p>
    <w:p w:rsidR="00EC7F63" w:rsidRPr="00720EBF" w:rsidRDefault="00EC7F63" w:rsidP="00081465">
      <w:pPr>
        <w:spacing w:line="360" w:lineRule="auto"/>
        <w:jc w:val="both"/>
        <w:rPr>
          <w:rFonts w:ascii="Arial" w:hAnsi="Arial"/>
          <w:i/>
          <w:sz w:val="22"/>
          <w:lang w:val="en-GB"/>
        </w:rPr>
      </w:pPr>
      <w:r w:rsidRPr="00720EBF">
        <w:rPr>
          <w:rFonts w:ascii="Arial" w:hAnsi="Arial"/>
          <w:i/>
          <w:sz w:val="22"/>
          <w:lang w:val="en-GB"/>
        </w:rPr>
        <w:t>Response cluster 4.2:  Numerical, algebraic or verbal representations</w:t>
      </w:r>
    </w:p>
    <w:p w:rsidR="00EC7F63" w:rsidRPr="00720EBF" w:rsidRDefault="00EC7F63" w:rsidP="00081465">
      <w:pPr>
        <w:spacing w:line="360" w:lineRule="auto"/>
        <w:jc w:val="both"/>
        <w:rPr>
          <w:rFonts w:ascii="Arial" w:hAnsi="Arial"/>
          <w:sz w:val="22"/>
          <w:lang w:val="en-GB"/>
        </w:rPr>
      </w:pPr>
      <w:r w:rsidRPr="00720EBF">
        <w:rPr>
          <w:rFonts w:ascii="Arial" w:hAnsi="Arial"/>
          <w:sz w:val="22"/>
          <w:lang w:val="en-GB"/>
        </w:rPr>
        <w:t xml:space="preserve">The responses here included examples that were similar to those for question 3, for instance of form </w:t>
      </w:r>
      <w:r w:rsidR="00301831" w:rsidRPr="00720EBF">
        <w:rPr>
          <w:rFonts w:ascii="Arial" w:hAnsi="Arial"/>
          <w:sz w:val="22"/>
        </w:rPr>
        <w:t>2 : 3</w:t>
      </w:r>
      <w:r w:rsidRPr="00720EBF">
        <w:rPr>
          <w:rFonts w:ascii="Arial" w:hAnsi="Arial"/>
          <w:sz w:val="22"/>
        </w:rPr>
        <w:t xml:space="preserve">, 4/5 or  </w:t>
      </w:r>
      <w:r w:rsidRPr="00720EBF">
        <w:rPr>
          <w:rFonts w:ascii="Arial" w:hAnsi="Arial" w:cs="Times New Roman"/>
          <w:sz w:val="22"/>
        </w:rPr>
        <w:t>⅜.  A few students answered using words, for instance ‘assets :  liabilities’.</w:t>
      </w:r>
    </w:p>
    <w:p w:rsidR="00EC7F63" w:rsidRPr="00720EBF" w:rsidRDefault="00EC7F63" w:rsidP="00081465">
      <w:pPr>
        <w:spacing w:line="360" w:lineRule="auto"/>
        <w:jc w:val="both"/>
        <w:rPr>
          <w:rFonts w:ascii="Arial" w:hAnsi="Arial"/>
          <w:sz w:val="22"/>
          <w:lang w:val="en-GB"/>
        </w:rPr>
      </w:pPr>
    </w:p>
    <w:p w:rsidR="00EC7F63" w:rsidRPr="00720EBF" w:rsidRDefault="00CE72FC" w:rsidP="00081465">
      <w:pPr>
        <w:spacing w:line="360" w:lineRule="auto"/>
        <w:jc w:val="both"/>
        <w:rPr>
          <w:rFonts w:ascii="Arial" w:hAnsi="Arial"/>
          <w:sz w:val="22"/>
        </w:rPr>
      </w:pPr>
      <w:r w:rsidRPr="00720EBF">
        <w:rPr>
          <w:rFonts w:ascii="Arial" w:hAnsi="Arial"/>
          <w:b/>
          <w:sz w:val="22"/>
        </w:rPr>
        <w:t>Emergent themes</w:t>
      </w:r>
    </w:p>
    <w:p w:rsidR="00DB0457" w:rsidRPr="00720EBF" w:rsidRDefault="006E3BA5" w:rsidP="00081465">
      <w:pPr>
        <w:spacing w:line="360" w:lineRule="auto"/>
        <w:jc w:val="both"/>
        <w:rPr>
          <w:rFonts w:ascii="Arial" w:hAnsi="Arial"/>
          <w:sz w:val="22"/>
        </w:rPr>
      </w:pPr>
      <w:r w:rsidRPr="00720EBF">
        <w:rPr>
          <w:rFonts w:ascii="Arial" w:hAnsi="Arial"/>
          <w:sz w:val="22"/>
        </w:rPr>
        <w:t>We answer the research questions with the identification of emergent themes arising from the</w:t>
      </w:r>
      <w:r w:rsidR="00EC7F63" w:rsidRPr="00720EBF">
        <w:rPr>
          <w:rFonts w:ascii="Arial" w:hAnsi="Arial"/>
          <w:sz w:val="22"/>
        </w:rPr>
        <w:t xml:space="preserve"> participants’ accounts of the meanings </w:t>
      </w:r>
      <w:r w:rsidRPr="00720EBF">
        <w:rPr>
          <w:rFonts w:ascii="Arial" w:hAnsi="Arial"/>
          <w:sz w:val="22"/>
        </w:rPr>
        <w:t xml:space="preserve">and representations </w:t>
      </w:r>
      <w:r w:rsidR="00EC7F63" w:rsidRPr="00720EBF">
        <w:rPr>
          <w:rFonts w:ascii="Arial" w:hAnsi="Arial"/>
          <w:sz w:val="22"/>
        </w:rPr>
        <w:t>they ascribe to ratio</w:t>
      </w:r>
      <w:r w:rsidRPr="00720EBF">
        <w:rPr>
          <w:rFonts w:ascii="Arial" w:hAnsi="Arial"/>
          <w:sz w:val="22"/>
        </w:rPr>
        <w:t xml:space="preserve">. </w:t>
      </w:r>
      <w:r w:rsidR="00EC7F63" w:rsidRPr="00720EBF">
        <w:rPr>
          <w:rFonts w:ascii="Arial" w:hAnsi="Arial"/>
          <w:sz w:val="22"/>
        </w:rPr>
        <w:t>Some descriptions</w:t>
      </w:r>
      <w:r w:rsidRPr="00720EBF">
        <w:rPr>
          <w:rFonts w:ascii="Arial" w:hAnsi="Arial"/>
          <w:sz w:val="22"/>
        </w:rPr>
        <w:t>, including representations,</w:t>
      </w:r>
      <w:r w:rsidR="00825C17">
        <w:rPr>
          <w:rFonts w:ascii="Arial" w:hAnsi="Arial"/>
          <w:sz w:val="22"/>
        </w:rPr>
        <w:t xml:space="preserve"> emphasiz</w:t>
      </w:r>
      <w:r w:rsidR="00EC7F63" w:rsidRPr="00720EBF">
        <w:rPr>
          <w:rFonts w:ascii="Arial" w:hAnsi="Arial"/>
          <w:sz w:val="22"/>
        </w:rPr>
        <w:t>e or allow us to infer that the participants’ concept includes the notion of two variables; some appear to refer to uses or applications or special types of ratio; and some relate to part-whole relationship</w:t>
      </w:r>
      <w:r w:rsidR="00FB73ED" w:rsidRPr="00720EBF">
        <w:rPr>
          <w:rFonts w:ascii="Arial" w:hAnsi="Arial"/>
          <w:sz w:val="22"/>
        </w:rPr>
        <w:t>s.  Table 2</w:t>
      </w:r>
      <w:r w:rsidR="00EC7F63" w:rsidRPr="00720EBF">
        <w:rPr>
          <w:rFonts w:ascii="Arial" w:hAnsi="Arial"/>
          <w:sz w:val="22"/>
        </w:rPr>
        <w:t xml:space="preserve"> shows typical instances of responses illustrating the three themes. The themes can be seen also in the wide range of representations offered in answer to question 4.</w:t>
      </w:r>
      <w:r w:rsidR="0005664D" w:rsidRPr="00720EBF">
        <w:rPr>
          <w:rFonts w:ascii="Arial" w:hAnsi="Arial"/>
          <w:sz w:val="22"/>
        </w:rPr>
        <w:t xml:space="preserve">  For </w:t>
      </w:r>
      <w:r w:rsidR="00F87F0A" w:rsidRPr="00720EBF">
        <w:rPr>
          <w:rFonts w:ascii="Arial" w:hAnsi="Arial"/>
          <w:sz w:val="22"/>
        </w:rPr>
        <w:t>example, Fig.</w:t>
      </w:r>
      <w:r w:rsidR="00ED7C2A" w:rsidRPr="00720EBF">
        <w:rPr>
          <w:rFonts w:ascii="Arial" w:hAnsi="Arial"/>
          <w:sz w:val="22"/>
        </w:rPr>
        <w:t xml:space="preserve"> 2 above shows instances of pictorial representations with one and with two variables</w:t>
      </w:r>
      <w:r w:rsidR="0005664D" w:rsidRPr="00720EBF">
        <w:rPr>
          <w:rFonts w:ascii="Arial" w:hAnsi="Arial"/>
          <w:sz w:val="22"/>
        </w:rPr>
        <w:t xml:space="preserve"> (with or without labels)</w:t>
      </w:r>
      <w:r w:rsidR="00ED7C2A" w:rsidRPr="00720EBF">
        <w:rPr>
          <w:rFonts w:ascii="Arial" w:hAnsi="Arial"/>
          <w:sz w:val="22"/>
        </w:rPr>
        <w:t xml:space="preserve"> as well as a typical representation of a part-whole relationship, while Fig</w:t>
      </w:r>
      <w:r w:rsidR="00F87F0A" w:rsidRPr="00720EBF">
        <w:rPr>
          <w:rFonts w:ascii="Arial" w:hAnsi="Arial"/>
          <w:sz w:val="22"/>
        </w:rPr>
        <w:t>.</w:t>
      </w:r>
      <w:r w:rsidR="00ED7C2A" w:rsidRPr="00720EBF">
        <w:rPr>
          <w:rFonts w:ascii="Arial" w:hAnsi="Arial"/>
          <w:sz w:val="22"/>
        </w:rPr>
        <w:t xml:space="preserve"> 3 above </w:t>
      </w:r>
      <w:r w:rsidR="0005664D" w:rsidRPr="00720EBF">
        <w:rPr>
          <w:rFonts w:ascii="Arial" w:hAnsi="Arial"/>
          <w:sz w:val="22"/>
        </w:rPr>
        <w:t>illustrates comparisons.</w:t>
      </w:r>
    </w:p>
    <w:p w:rsidR="00DB0457" w:rsidRPr="00720EBF" w:rsidRDefault="00DB0457" w:rsidP="00081465">
      <w:pPr>
        <w:spacing w:line="360" w:lineRule="auto"/>
        <w:jc w:val="both"/>
        <w:rPr>
          <w:rFonts w:ascii="Arial" w:hAnsi="Arial"/>
          <w:sz w:val="22"/>
        </w:rPr>
      </w:pPr>
    </w:p>
    <w:p w:rsidR="00DB0457" w:rsidRPr="00720EBF" w:rsidRDefault="00DB0457" w:rsidP="00081465">
      <w:pPr>
        <w:spacing w:line="360" w:lineRule="auto"/>
        <w:jc w:val="both"/>
        <w:rPr>
          <w:rFonts w:ascii="Arial" w:hAnsi="Arial"/>
          <w:sz w:val="22"/>
        </w:rPr>
      </w:pPr>
      <w:r w:rsidRPr="00720EBF">
        <w:rPr>
          <w:rFonts w:ascii="Arial" w:hAnsi="Arial"/>
          <w:sz w:val="22"/>
        </w:rPr>
        <w:t xml:space="preserve">As noted in the introduction, we prefer to define ratio in terms of a comparison of like or unlike elements (the first theme), and to exclude the part-whole relationships often reflected in use of fraction notation (the third theme).  Thus, we infer that participants who make use of the latter notation – and especially those whose responses did not include any reference to the comparisons revealed in the first theme – </w:t>
      </w:r>
      <w:r w:rsidRPr="00720EBF">
        <w:rPr>
          <w:rFonts w:ascii="Arial" w:hAnsi="Arial"/>
          <w:i/>
          <w:sz w:val="22"/>
        </w:rPr>
        <w:t>may not have adequate knowledge, or a full understanding</w:t>
      </w:r>
      <w:r w:rsidRPr="00720EBF">
        <w:rPr>
          <w:rFonts w:ascii="Arial" w:hAnsi="Arial"/>
          <w:sz w:val="22"/>
        </w:rPr>
        <w:t xml:space="preserve">, of the concept of ratio. </w:t>
      </w:r>
    </w:p>
    <w:p w:rsidR="002623BC" w:rsidRDefault="002623BC" w:rsidP="00345AE7">
      <w:pPr>
        <w:rPr>
          <w:rFonts w:ascii="Arial" w:hAnsi="Arial"/>
          <w:b/>
          <w:sz w:val="22"/>
        </w:rPr>
      </w:pPr>
    </w:p>
    <w:p w:rsidR="00EC7F63" w:rsidRPr="00720EBF" w:rsidRDefault="00FB73ED" w:rsidP="00FB73ED">
      <w:pPr>
        <w:jc w:val="center"/>
        <w:rPr>
          <w:rFonts w:ascii="Arial" w:hAnsi="Arial"/>
          <w:sz w:val="22"/>
        </w:rPr>
      </w:pPr>
      <w:r w:rsidRPr="00720EBF">
        <w:rPr>
          <w:rFonts w:ascii="Arial" w:hAnsi="Arial"/>
          <w:b/>
          <w:sz w:val="22"/>
        </w:rPr>
        <w:t>Table 2</w:t>
      </w:r>
      <w:r w:rsidR="00EC7F63" w:rsidRPr="00720EBF">
        <w:rPr>
          <w:rFonts w:ascii="Arial" w:hAnsi="Arial"/>
          <w:b/>
          <w:sz w:val="22"/>
        </w:rPr>
        <w:t>:</w:t>
      </w:r>
      <w:r w:rsidR="00EC7F63" w:rsidRPr="00720EBF">
        <w:rPr>
          <w:rFonts w:ascii="Arial" w:hAnsi="Arial"/>
          <w:sz w:val="22"/>
        </w:rPr>
        <w:t xml:space="preserve">  Emergent themes for participants’ descriptions of the meanings they ascribe to ratio</w:t>
      </w:r>
    </w:p>
    <w:tbl>
      <w:tblPr>
        <w:tblStyle w:val="TableGrid"/>
        <w:tblW w:w="0" w:type="auto"/>
        <w:jc w:val="center"/>
        <w:tblLook w:val="00BF"/>
      </w:tblPr>
      <w:tblGrid>
        <w:gridCol w:w="2268"/>
        <w:gridCol w:w="2268"/>
        <w:gridCol w:w="2268"/>
      </w:tblGrid>
      <w:tr w:rsidR="00EC7F63" w:rsidRPr="00720EBF">
        <w:trPr>
          <w:jc w:val="center"/>
        </w:trPr>
        <w:tc>
          <w:tcPr>
            <w:tcW w:w="2268" w:type="dxa"/>
            <w:vAlign w:val="center"/>
          </w:tcPr>
          <w:p w:rsidR="00EC7F63" w:rsidRPr="00720EBF" w:rsidRDefault="00EC7F63" w:rsidP="00D36E23">
            <w:pPr>
              <w:jc w:val="center"/>
              <w:rPr>
                <w:rFonts w:ascii="Arial" w:hAnsi="Arial"/>
                <w:b/>
              </w:rPr>
            </w:pPr>
            <w:r w:rsidRPr="00720EBF">
              <w:rPr>
                <w:rFonts w:ascii="Arial" w:hAnsi="Arial"/>
                <w:b/>
              </w:rPr>
              <w:t>Infers two distinct variables</w:t>
            </w:r>
          </w:p>
        </w:tc>
        <w:tc>
          <w:tcPr>
            <w:tcW w:w="2268" w:type="dxa"/>
            <w:vAlign w:val="center"/>
          </w:tcPr>
          <w:p w:rsidR="00EC7F63" w:rsidRPr="00720EBF" w:rsidRDefault="00EC7F63" w:rsidP="00D36E23">
            <w:pPr>
              <w:ind w:left="360"/>
              <w:jc w:val="center"/>
              <w:rPr>
                <w:rFonts w:ascii="Arial" w:hAnsi="Arial"/>
                <w:b/>
                <w:lang w:val="en-US"/>
              </w:rPr>
            </w:pPr>
            <w:r w:rsidRPr="00720EBF">
              <w:rPr>
                <w:rFonts w:ascii="Arial" w:hAnsi="Arial"/>
                <w:b/>
                <w:lang w:val="en-US"/>
              </w:rPr>
              <w:t xml:space="preserve"> Types / uses / applications of ratio</w:t>
            </w:r>
          </w:p>
        </w:tc>
        <w:tc>
          <w:tcPr>
            <w:tcW w:w="2268" w:type="dxa"/>
            <w:vAlign w:val="center"/>
          </w:tcPr>
          <w:p w:rsidR="00EC7F63" w:rsidRPr="00720EBF" w:rsidRDefault="00EC7F63" w:rsidP="00D36E23">
            <w:pPr>
              <w:jc w:val="center"/>
              <w:rPr>
                <w:rFonts w:ascii="Arial" w:hAnsi="Arial"/>
                <w:b/>
              </w:rPr>
            </w:pPr>
            <w:r w:rsidRPr="00720EBF">
              <w:rPr>
                <w:rFonts w:ascii="Arial" w:hAnsi="Arial"/>
                <w:b/>
              </w:rPr>
              <w:t>Part / whole relationships</w:t>
            </w:r>
          </w:p>
        </w:tc>
      </w:tr>
      <w:tr w:rsidR="00EC7F63" w:rsidRPr="00720EBF">
        <w:trPr>
          <w:jc w:val="center"/>
        </w:trPr>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Comparison</w:t>
            </w: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Rate</w:t>
            </w: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Fraction</w:t>
            </w:r>
          </w:p>
        </w:tc>
      </w:tr>
      <w:tr w:rsidR="00EC7F63" w:rsidRPr="00720EBF">
        <w:trPr>
          <w:jc w:val="center"/>
        </w:trPr>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Relationship</w:t>
            </w: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Scale</w:t>
            </w: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Decimal</w:t>
            </w:r>
          </w:p>
        </w:tc>
      </w:tr>
      <w:tr w:rsidR="00EC7F63" w:rsidRPr="00720EBF">
        <w:trPr>
          <w:jc w:val="center"/>
        </w:trPr>
        <w:tc>
          <w:tcPr>
            <w:tcW w:w="2268" w:type="dxa"/>
            <w:vAlign w:val="center"/>
          </w:tcPr>
          <w:p w:rsidR="00EC7F63" w:rsidRPr="00720EBF" w:rsidRDefault="00EC7F63" w:rsidP="000439F9">
            <w:pPr>
              <w:spacing w:line="360" w:lineRule="auto"/>
              <w:jc w:val="center"/>
              <w:rPr>
                <w:rFonts w:ascii="Arial" w:hAnsi="Arial"/>
              </w:rPr>
            </w:pP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Odds</w:t>
            </w:r>
          </w:p>
        </w:tc>
        <w:tc>
          <w:tcPr>
            <w:tcW w:w="2268" w:type="dxa"/>
            <w:vAlign w:val="center"/>
          </w:tcPr>
          <w:p w:rsidR="00EC7F63" w:rsidRPr="00720EBF" w:rsidRDefault="00EC7F63" w:rsidP="000439F9">
            <w:pPr>
              <w:spacing w:line="360" w:lineRule="auto"/>
              <w:jc w:val="center"/>
              <w:rPr>
                <w:rFonts w:ascii="Arial" w:hAnsi="Arial"/>
              </w:rPr>
            </w:pPr>
          </w:p>
        </w:tc>
      </w:tr>
      <w:tr w:rsidR="00EC7F63" w:rsidRPr="00720EBF">
        <w:trPr>
          <w:jc w:val="center"/>
        </w:trPr>
        <w:tc>
          <w:tcPr>
            <w:tcW w:w="2268" w:type="dxa"/>
            <w:vAlign w:val="center"/>
          </w:tcPr>
          <w:p w:rsidR="00EC7F63" w:rsidRPr="00720EBF" w:rsidRDefault="00EC7F63" w:rsidP="000439F9">
            <w:pPr>
              <w:spacing w:line="360" w:lineRule="auto"/>
              <w:jc w:val="center"/>
              <w:rPr>
                <w:rFonts w:ascii="Arial" w:hAnsi="Arial"/>
              </w:rPr>
            </w:pP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Proportion</w:t>
            </w:r>
          </w:p>
        </w:tc>
        <w:tc>
          <w:tcPr>
            <w:tcW w:w="2268" w:type="dxa"/>
            <w:vAlign w:val="center"/>
          </w:tcPr>
          <w:p w:rsidR="00EC7F63" w:rsidRPr="00720EBF" w:rsidRDefault="00EC7F63" w:rsidP="000439F9">
            <w:pPr>
              <w:spacing w:line="360" w:lineRule="auto"/>
              <w:jc w:val="center"/>
              <w:rPr>
                <w:rFonts w:ascii="Arial" w:hAnsi="Arial"/>
              </w:rPr>
            </w:pPr>
          </w:p>
        </w:tc>
      </w:tr>
      <w:tr w:rsidR="00EC7F63" w:rsidRPr="00720EBF">
        <w:trPr>
          <w:jc w:val="center"/>
        </w:trPr>
        <w:tc>
          <w:tcPr>
            <w:tcW w:w="2268" w:type="dxa"/>
            <w:vAlign w:val="center"/>
          </w:tcPr>
          <w:p w:rsidR="00EC7F63" w:rsidRPr="00720EBF" w:rsidRDefault="00EC7F63" w:rsidP="000439F9">
            <w:pPr>
              <w:spacing w:line="360" w:lineRule="auto"/>
              <w:jc w:val="center"/>
              <w:rPr>
                <w:rFonts w:ascii="Arial" w:hAnsi="Arial"/>
              </w:rPr>
            </w:pP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Division / splitting</w:t>
            </w:r>
          </w:p>
        </w:tc>
        <w:tc>
          <w:tcPr>
            <w:tcW w:w="2268" w:type="dxa"/>
            <w:vAlign w:val="center"/>
          </w:tcPr>
          <w:p w:rsidR="00EC7F63" w:rsidRPr="00720EBF" w:rsidRDefault="00EC7F63" w:rsidP="000439F9">
            <w:pPr>
              <w:spacing w:line="360" w:lineRule="auto"/>
              <w:jc w:val="center"/>
              <w:rPr>
                <w:rFonts w:ascii="Arial" w:hAnsi="Arial"/>
              </w:rPr>
            </w:pPr>
          </w:p>
        </w:tc>
      </w:tr>
      <w:tr w:rsidR="00EC7F63" w:rsidRPr="00720EBF">
        <w:trPr>
          <w:jc w:val="center"/>
        </w:trPr>
        <w:tc>
          <w:tcPr>
            <w:tcW w:w="2268" w:type="dxa"/>
            <w:vAlign w:val="center"/>
          </w:tcPr>
          <w:p w:rsidR="00EC7F63" w:rsidRPr="00720EBF" w:rsidRDefault="00EC7F63" w:rsidP="000439F9">
            <w:pPr>
              <w:spacing w:line="360" w:lineRule="auto"/>
              <w:jc w:val="center"/>
              <w:rPr>
                <w:rFonts w:ascii="Arial" w:hAnsi="Arial"/>
              </w:rPr>
            </w:pPr>
          </w:p>
        </w:tc>
        <w:tc>
          <w:tcPr>
            <w:tcW w:w="2268" w:type="dxa"/>
            <w:vAlign w:val="center"/>
          </w:tcPr>
          <w:p w:rsidR="00EC7F63" w:rsidRPr="00720EBF" w:rsidRDefault="00EC7F63" w:rsidP="000439F9">
            <w:pPr>
              <w:spacing w:line="360" w:lineRule="auto"/>
              <w:jc w:val="center"/>
              <w:rPr>
                <w:rFonts w:ascii="Arial" w:hAnsi="Arial"/>
              </w:rPr>
            </w:pPr>
            <w:r w:rsidRPr="00720EBF">
              <w:rPr>
                <w:rFonts w:ascii="Arial" w:hAnsi="Arial"/>
              </w:rPr>
              <w:t>Percent</w:t>
            </w:r>
          </w:p>
        </w:tc>
        <w:tc>
          <w:tcPr>
            <w:tcW w:w="2268" w:type="dxa"/>
            <w:vAlign w:val="center"/>
          </w:tcPr>
          <w:p w:rsidR="00EC7F63" w:rsidRPr="00720EBF" w:rsidRDefault="00EC7F63" w:rsidP="000439F9">
            <w:pPr>
              <w:spacing w:line="360" w:lineRule="auto"/>
              <w:jc w:val="center"/>
              <w:rPr>
                <w:rFonts w:ascii="Arial" w:hAnsi="Arial"/>
              </w:rPr>
            </w:pPr>
          </w:p>
        </w:tc>
      </w:tr>
    </w:tbl>
    <w:p w:rsidR="00EC7F63" w:rsidRPr="00720EBF" w:rsidRDefault="00EC7F63" w:rsidP="000439F9">
      <w:pPr>
        <w:spacing w:line="360" w:lineRule="auto"/>
        <w:rPr>
          <w:rFonts w:ascii="Arial" w:hAnsi="Arial"/>
          <w:sz w:val="22"/>
        </w:rPr>
      </w:pPr>
    </w:p>
    <w:p w:rsidR="00F2535D" w:rsidRDefault="00F2535D" w:rsidP="000439F9">
      <w:pPr>
        <w:spacing w:line="360" w:lineRule="auto"/>
        <w:rPr>
          <w:rFonts w:ascii="Arial" w:hAnsi="Arial"/>
          <w:b/>
          <w:sz w:val="22"/>
        </w:rPr>
      </w:pPr>
    </w:p>
    <w:p w:rsidR="00345AE7" w:rsidRDefault="00345AE7" w:rsidP="000439F9">
      <w:pPr>
        <w:spacing w:line="360" w:lineRule="auto"/>
        <w:rPr>
          <w:rFonts w:ascii="Arial" w:hAnsi="Arial"/>
          <w:b/>
          <w:sz w:val="22"/>
        </w:rPr>
      </w:pPr>
    </w:p>
    <w:p w:rsidR="009F619E" w:rsidRPr="00720EBF" w:rsidRDefault="00DB0457" w:rsidP="000439F9">
      <w:pPr>
        <w:spacing w:line="360" w:lineRule="auto"/>
        <w:rPr>
          <w:rFonts w:ascii="Arial" w:hAnsi="Arial"/>
          <w:b/>
          <w:sz w:val="22"/>
        </w:rPr>
      </w:pPr>
      <w:r w:rsidRPr="00720EBF">
        <w:rPr>
          <w:rFonts w:ascii="Arial" w:hAnsi="Arial"/>
          <w:b/>
          <w:sz w:val="22"/>
        </w:rPr>
        <w:t>Discussion</w:t>
      </w:r>
    </w:p>
    <w:p w:rsidR="00EC7F63" w:rsidRPr="00720EBF" w:rsidRDefault="009F619E" w:rsidP="002623BC">
      <w:pPr>
        <w:spacing w:line="360" w:lineRule="auto"/>
        <w:jc w:val="both"/>
        <w:rPr>
          <w:rFonts w:ascii="Arial" w:hAnsi="Arial"/>
          <w:sz w:val="22"/>
        </w:rPr>
      </w:pPr>
      <w:r w:rsidRPr="00720EBF">
        <w:rPr>
          <w:rFonts w:ascii="Arial" w:hAnsi="Arial"/>
          <w:sz w:val="22"/>
        </w:rPr>
        <w:t xml:space="preserve">This study examined the meanings and representation of prospective mathematics and science teachers to determine their knowledge for teaching of the ratio concept. </w:t>
      </w:r>
      <w:r w:rsidR="00EC7F63" w:rsidRPr="00720EBF">
        <w:rPr>
          <w:rFonts w:ascii="Arial" w:hAnsi="Arial"/>
          <w:sz w:val="22"/>
        </w:rPr>
        <w:t>Knowledge and understanding are addressed in a variety of ways in the literature, often in terms of a dichotomy:  for example conceptual versu</w:t>
      </w:r>
      <w:r w:rsidR="004661EF">
        <w:rPr>
          <w:rFonts w:ascii="Arial" w:hAnsi="Arial"/>
          <w:sz w:val="22"/>
        </w:rPr>
        <w:t>s procedural knowledge (Hiebert</w:t>
      </w:r>
      <w:r w:rsidR="00EC7F63" w:rsidRPr="00720EBF">
        <w:rPr>
          <w:rFonts w:ascii="Arial" w:hAnsi="Arial"/>
          <w:sz w:val="22"/>
        </w:rPr>
        <w:t xml:space="preserve"> 1986), relational versus in</w:t>
      </w:r>
      <w:r w:rsidR="004C42B9" w:rsidRPr="00720EBF">
        <w:rPr>
          <w:rFonts w:ascii="Arial" w:hAnsi="Arial"/>
          <w:sz w:val="22"/>
        </w:rPr>
        <w:t>strumental understanding (Skemp</w:t>
      </w:r>
      <w:r w:rsidR="00EC7F63" w:rsidRPr="00720EBF">
        <w:rPr>
          <w:rFonts w:ascii="Arial" w:hAnsi="Arial"/>
          <w:sz w:val="22"/>
        </w:rPr>
        <w:t xml:space="preserve"> 1976), and knowing </w:t>
      </w:r>
      <w:r w:rsidR="00D64DFA" w:rsidRPr="00720EBF">
        <w:rPr>
          <w:rFonts w:ascii="Arial" w:hAnsi="Arial"/>
          <w:sz w:val="22"/>
        </w:rPr>
        <w:t>‘</w:t>
      </w:r>
      <w:r w:rsidR="00EC7F63" w:rsidRPr="00720EBF">
        <w:rPr>
          <w:rFonts w:ascii="Arial" w:hAnsi="Arial"/>
          <w:sz w:val="22"/>
        </w:rPr>
        <w:t>why</w:t>
      </w:r>
      <w:r w:rsidR="00D64DFA" w:rsidRPr="00720EBF">
        <w:rPr>
          <w:rFonts w:ascii="Arial" w:hAnsi="Arial"/>
          <w:sz w:val="22"/>
        </w:rPr>
        <w:t>’</w:t>
      </w:r>
      <w:r w:rsidR="00EC7F63" w:rsidRPr="00720EBF">
        <w:rPr>
          <w:rFonts w:ascii="Arial" w:hAnsi="Arial"/>
          <w:sz w:val="22"/>
        </w:rPr>
        <w:t xml:space="preserve"> versus knowing </w:t>
      </w:r>
      <w:r w:rsidR="00D64DFA" w:rsidRPr="00720EBF">
        <w:rPr>
          <w:rFonts w:ascii="Arial" w:hAnsi="Arial"/>
          <w:sz w:val="22"/>
        </w:rPr>
        <w:t>‘</w:t>
      </w:r>
      <w:r w:rsidR="00EC7F63" w:rsidRPr="00720EBF">
        <w:rPr>
          <w:rFonts w:ascii="Arial" w:hAnsi="Arial"/>
          <w:sz w:val="22"/>
        </w:rPr>
        <w:t>that</w:t>
      </w:r>
      <w:r w:rsidR="00D64DFA" w:rsidRPr="00720EBF">
        <w:rPr>
          <w:rFonts w:ascii="Arial" w:hAnsi="Arial"/>
          <w:sz w:val="22"/>
        </w:rPr>
        <w:t>’</w:t>
      </w:r>
      <w:r w:rsidR="00EC7F63" w:rsidRPr="00720EBF">
        <w:rPr>
          <w:rFonts w:ascii="Arial" w:hAnsi="Arial"/>
          <w:sz w:val="22"/>
        </w:rPr>
        <w:t xml:space="preserve"> (Shulman</w:t>
      </w:r>
      <w:r w:rsidR="004C42B9" w:rsidRPr="00720EBF">
        <w:rPr>
          <w:rFonts w:ascii="Arial" w:hAnsi="Arial"/>
          <w:sz w:val="22"/>
        </w:rPr>
        <w:t xml:space="preserve"> </w:t>
      </w:r>
      <w:r w:rsidR="00EC7F63" w:rsidRPr="00720EBF">
        <w:rPr>
          <w:rFonts w:ascii="Arial" w:hAnsi="Arial"/>
          <w:sz w:val="22"/>
        </w:rPr>
        <w:t xml:space="preserve">1986).  </w:t>
      </w:r>
      <w:r w:rsidR="00FC3EDC">
        <w:rPr>
          <w:rFonts w:ascii="Arial" w:hAnsi="Arial"/>
          <w:sz w:val="22"/>
        </w:rPr>
        <w:t>Both</w:t>
      </w:r>
      <w:r w:rsidR="00EC7F63" w:rsidRPr="00720EBF">
        <w:rPr>
          <w:rFonts w:ascii="Arial" w:hAnsi="Arial"/>
          <w:sz w:val="22"/>
        </w:rPr>
        <w:t xml:space="preserve"> elements </w:t>
      </w:r>
      <w:r w:rsidR="0075470C">
        <w:rPr>
          <w:rFonts w:ascii="Arial" w:hAnsi="Arial"/>
          <w:sz w:val="22"/>
        </w:rPr>
        <w:t>in</w:t>
      </w:r>
      <w:r w:rsidR="00EC7F63" w:rsidRPr="00720EBF">
        <w:rPr>
          <w:rFonts w:ascii="Arial" w:hAnsi="Arial"/>
          <w:sz w:val="22"/>
        </w:rPr>
        <w:t xml:space="preserve"> such dichotomies are impor</w:t>
      </w:r>
      <w:r w:rsidR="004C42B9" w:rsidRPr="00720EBF">
        <w:rPr>
          <w:rFonts w:ascii="Arial" w:hAnsi="Arial"/>
          <w:sz w:val="22"/>
        </w:rPr>
        <w:t>tant (National Research Council</w:t>
      </w:r>
      <w:r w:rsidR="00EC7F63" w:rsidRPr="00720EBF">
        <w:rPr>
          <w:rFonts w:ascii="Arial" w:hAnsi="Arial"/>
          <w:sz w:val="22"/>
        </w:rPr>
        <w:t xml:space="preserve"> 2001). In fact it is more appropriate to think of </w:t>
      </w:r>
      <w:r w:rsidR="00D64DFA" w:rsidRPr="00720EBF">
        <w:rPr>
          <w:rFonts w:ascii="Arial" w:hAnsi="Arial"/>
          <w:sz w:val="22"/>
        </w:rPr>
        <w:t>‘</w:t>
      </w:r>
      <w:r w:rsidR="00EC7F63" w:rsidRPr="00720EBF">
        <w:rPr>
          <w:rFonts w:ascii="Arial" w:hAnsi="Arial"/>
          <w:sz w:val="22"/>
        </w:rPr>
        <w:t>both … and</w:t>
      </w:r>
      <w:r w:rsidR="00D64DFA" w:rsidRPr="00720EBF">
        <w:rPr>
          <w:rFonts w:ascii="Arial" w:hAnsi="Arial"/>
          <w:sz w:val="22"/>
        </w:rPr>
        <w:t>’</w:t>
      </w:r>
      <w:r w:rsidR="00EC7F63" w:rsidRPr="00720EBF">
        <w:rPr>
          <w:rFonts w:ascii="Arial" w:hAnsi="Arial"/>
          <w:sz w:val="22"/>
        </w:rPr>
        <w:t xml:space="preserve"> than of </w:t>
      </w:r>
      <w:r w:rsidR="00D64DFA" w:rsidRPr="00720EBF">
        <w:rPr>
          <w:rFonts w:ascii="Arial" w:hAnsi="Arial"/>
          <w:sz w:val="22"/>
        </w:rPr>
        <w:t>‘</w:t>
      </w:r>
      <w:r w:rsidR="00EC7F63" w:rsidRPr="00720EBF">
        <w:rPr>
          <w:rFonts w:ascii="Arial" w:hAnsi="Arial"/>
          <w:sz w:val="22"/>
        </w:rPr>
        <w:t>either … or.</w:t>
      </w:r>
      <w:r w:rsidR="00D64DFA" w:rsidRPr="00720EBF">
        <w:rPr>
          <w:rFonts w:ascii="Arial" w:hAnsi="Arial"/>
          <w:sz w:val="22"/>
        </w:rPr>
        <w:t>’</w:t>
      </w:r>
      <w:r w:rsidR="00EC7F63" w:rsidRPr="00720EBF">
        <w:rPr>
          <w:rFonts w:ascii="Arial" w:hAnsi="Arial"/>
          <w:sz w:val="22"/>
        </w:rPr>
        <w:t xml:space="preserve">  However, the first element in each case is of particular value with regard to sense-making and meaning-making, currently key phrases with regard to the implementation of </w:t>
      </w:r>
      <w:r w:rsidR="00D64DFA" w:rsidRPr="00720EBF">
        <w:rPr>
          <w:rFonts w:ascii="Arial" w:hAnsi="Arial"/>
          <w:sz w:val="22"/>
        </w:rPr>
        <w:t>‘</w:t>
      </w:r>
      <w:r w:rsidR="00EC7F63" w:rsidRPr="00720EBF">
        <w:rPr>
          <w:rFonts w:ascii="Arial" w:hAnsi="Arial"/>
          <w:sz w:val="22"/>
        </w:rPr>
        <w:t>reform</w:t>
      </w:r>
      <w:r w:rsidR="00D64DFA" w:rsidRPr="00720EBF">
        <w:rPr>
          <w:rFonts w:ascii="Arial" w:hAnsi="Arial"/>
          <w:sz w:val="22"/>
        </w:rPr>
        <w:t>’</w:t>
      </w:r>
      <w:r w:rsidR="00EC7F63" w:rsidRPr="00720EBF">
        <w:rPr>
          <w:rFonts w:ascii="Arial" w:hAnsi="Arial"/>
          <w:sz w:val="22"/>
        </w:rPr>
        <w:t xml:space="preserve"> curricula.   Moreover, according to Hiebert and Grouws (2007), a feature of good teaching </w:t>
      </w:r>
      <w:r w:rsidR="00FC3EDC">
        <w:rPr>
          <w:rFonts w:ascii="Arial" w:hAnsi="Arial"/>
          <w:sz w:val="22"/>
        </w:rPr>
        <w:t>is</w:t>
      </w:r>
      <w:r w:rsidR="00EC7F63" w:rsidRPr="00720EBF">
        <w:rPr>
          <w:rFonts w:ascii="Arial" w:hAnsi="Arial"/>
          <w:sz w:val="22"/>
        </w:rPr>
        <w:t xml:space="preserve"> that the teacher can highlight connections, or relationships, between different concepts.  This guided our decision to </w:t>
      </w:r>
      <w:r w:rsidR="005448E7" w:rsidRPr="00720EBF">
        <w:rPr>
          <w:rFonts w:ascii="Arial" w:hAnsi="Arial"/>
          <w:sz w:val="22"/>
        </w:rPr>
        <w:t>employ Skemp’s terminology</w:t>
      </w:r>
      <w:r w:rsidR="00662A56">
        <w:rPr>
          <w:rFonts w:ascii="Arial" w:hAnsi="Arial"/>
          <w:sz w:val="22"/>
        </w:rPr>
        <w:t xml:space="preserve">. </w:t>
      </w:r>
      <w:r w:rsidR="00EC7F63" w:rsidRPr="00720EBF">
        <w:rPr>
          <w:rFonts w:ascii="Arial" w:hAnsi="Arial"/>
          <w:sz w:val="22"/>
        </w:rPr>
        <w:t xml:space="preserve">In particular, we looked for indicators of </w:t>
      </w:r>
      <w:r w:rsidR="00EC7F63" w:rsidRPr="00720EBF">
        <w:rPr>
          <w:rFonts w:ascii="Arial" w:hAnsi="Arial"/>
          <w:i/>
          <w:sz w:val="22"/>
        </w:rPr>
        <w:t>relational understanding</w:t>
      </w:r>
      <w:r w:rsidR="00EC7F63" w:rsidRPr="00720EBF">
        <w:rPr>
          <w:rFonts w:ascii="Arial" w:hAnsi="Arial"/>
          <w:sz w:val="22"/>
        </w:rPr>
        <w:t xml:space="preserve">:  understanding of </w:t>
      </w:r>
      <w:r w:rsidR="00D64DFA" w:rsidRPr="00720EBF">
        <w:rPr>
          <w:rFonts w:ascii="Arial" w:hAnsi="Arial"/>
          <w:sz w:val="22"/>
        </w:rPr>
        <w:t>‘</w:t>
      </w:r>
      <w:r w:rsidR="00EC7F63" w:rsidRPr="00720EBF">
        <w:rPr>
          <w:rFonts w:ascii="Arial" w:hAnsi="Arial"/>
          <w:sz w:val="22"/>
        </w:rPr>
        <w:t>why</w:t>
      </w:r>
      <w:r w:rsidR="00D64DFA" w:rsidRPr="00720EBF">
        <w:rPr>
          <w:rFonts w:ascii="Arial" w:hAnsi="Arial"/>
          <w:sz w:val="22"/>
        </w:rPr>
        <w:t>’</w:t>
      </w:r>
      <w:r w:rsidR="00EC7F63" w:rsidRPr="00720EBF">
        <w:rPr>
          <w:rFonts w:ascii="Arial" w:hAnsi="Arial"/>
          <w:sz w:val="22"/>
        </w:rPr>
        <w:t xml:space="preserve">, of how the concepts involved in ratio are linked to each other and to other mathematical </w:t>
      </w:r>
      <w:r w:rsidR="00FC3EDC">
        <w:rPr>
          <w:rFonts w:ascii="Arial" w:hAnsi="Arial"/>
          <w:sz w:val="22"/>
        </w:rPr>
        <w:t xml:space="preserve">or scientific </w:t>
      </w:r>
      <w:r w:rsidR="002623BC">
        <w:rPr>
          <w:rFonts w:ascii="Arial" w:hAnsi="Arial"/>
          <w:sz w:val="22"/>
        </w:rPr>
        <w:t xml:space="preserve">concepts.  Using this language </w:t>
      </w:r>
      <w:r w:rsidR="004906F6" w:rsidRPr="00720EBF">
        <w:rPr>
          <w:rFonts w:ascii="Arial" w:hAnsi="Arial"/>
          <w:sz w:val="22"/>
        </w:rPr>
        <w:t xml:space="preserve">indicates that some prospective teachers have stronger relational understanding of ratio than others. </w:t>
      </w:r>
      <w:r w:rsidR="00B27402" w:rsidRPr="00720EBF">
        <w:rPr>
          <w:rFonts w:ascii="Arial" w:hAnsi="Arial"/>
          <w:sz w:val="22"/>
        </w:rPr>
        <w:t>Additionally, the conjecture</w:t>
      </w:r>
      <w:r w:rsidR="002623BC">
        <w:rPr>
          <w:rFonts w:ascii="Arial" w:hAnsi="Arial"/>
          <w:sz w:val="22"/>
        </w:rPr>
        <w:t>s define</w:t>
      </w:r>
      <w:r w:rsidR="00B27402" w:rsidRPr="00720EBF">
        <w:rPr>
          <w:rFonts w:ascii="Arial" w:hAnsi="Arial"/>
          <w:sz w:val="22"/>
        </w:rPr>
        <w:t xml:space="preserve"> the parameters of</w:t>
      </w:r>
      <w:r w:rsidR="000E73A7">
        <w:rPr>
          <w:rFonts w:ascii="Arial" w:hAnsi="Arial"/>
          <w:sz w:val="22"/>
        </w:rPr>
        <w:t xml:space="preserve"> that relational understanding (See Table 3). Th</w:t>
      </w:r>
      <w:r w:rsidR="00FC3EDC">
        <w:rPr>
          <w:rFonts w:ascii="Arial" w:hAnsi="Arial"/>
          <w:sz w:val="22"/>
        </w:rPr>
        <w:t>e</w:t>
      </w:r>
      <w:r w:rsidR="004906F6" w:rsidRPr="00720EBF">
        <w:rPr>
          <w:rFonts w:ascii="Arial" w:hAnsi="Arial"/>
          <w:sz w:val="22"/>
        </w:rPr>
        <w:t xml:space="preserve"> finding infers that these participants will be able to make more </w:t>
      </w:r>
      <w:r w:rsidR="00B27402" w:rsidRPr="00720EBF">
        <w:rPr>
          <w:rFonts w:ascii="Arial" w:hAnsi="Arial"/>
          <w:sz w:val="22"/>
        </w:rPr>
        <w:t xml:space="preserve">meaningful </w:t>
      </w:r>
      <w:r w:rsidR="004906F6" w:rsidRPr="00720EBF">
        <w:rPr>
          <w:rFonts w:ascii="Arial" w:hAnsi="Arial"/>
          <w:sz w:val="22"/>
        </w:rPr>
        <w:t>connections between ideas related to proportion</w:t>
      </w:r>
      <w:r w:rsidR="002623BC">
        <w:rPr>
          <w:rFonts w:ascii="Arial" w:hAnsi="Arial"/>
          <w:sz w:val="22"/>
        </w:rPr>
        <w:t>al</w:t>
      </w:r>
      <w:r w:rsidR="004906F6" w:rsidRPr="00720EBF">
        <w:rPr>
          <w:rFonts w:ascii="Arial" w:hAnsi="Arial"/>
          <w:sz w:val="22"/>
        </w:rPr>
        <w:t xml:space="preserve"> reasoning and problem solving for their students.</w:t>
      </w:r>
    </w:p>
    <w:p w:rsidR="00EC7F63" w:rsidRPr="00720EBF" w:rsidRDefault="00EC7F63" w:rsidP="002623BC">
      <w:pPr>
        <w:spacing w:line="360" w:lineRule="auto"/>
        <w:jc w:val="both"/>
        <w:rPr>
          <w:rFonts w:ascii="Arial" w:hAnsi="Arial"/>
          <w:sz w:val="22"/>
        </w:rPr>
      </w:pPr>
    </w:p>
    <w:p w:rsidR="00EC7F63" w:rsidRPr="00720EBF" w:rsidRDefault="00EC7F63" w:rsidP="002623BC">
      <w:pPr>
        <w:spacing w:line="360" w:lineRule="auto"/>
        <w:jc w:val="both"/>
        <w:rPr>
          <w:rFonts w:ascii="Arial" w:hAnsi="Arial"/>
          <w:sz w:val="22"/>
        </w:rPr>
      </w:pPr>
      <w:r w:rsidRPr="00720EBF">
        <w:rPr>
          <w:rFonts w:ascii="Arial" w:hAnsi="Arial"/>
          <w:sz w:val="22"/>
        </w:rPr>
        <w:t xml:space="preserve">We may not be able to form conjectures with regard to </w:t>
      </w:r>
      <w:r w:rsidRPr="00720EBF">
        <w:rPr>
          <w:rFonts w:ascii="Arial" w:hAnsi="Arial"/>
          <w:i/>
          <w:sz w:val="22"/>
        </w:rPr>
        <w:t>instrumental understanding</w:t>
      </w:r>
      <w:r w:rsidRPr="00720EBF">
        <w:rPr>
          <w:rFonts w:ascii="Arial" w:hAnsi="Arial"/>
          <w:sz w:val="22"/>
        </w:rPr>
        <w:t xml:space="preserve">, or understanding </w:t>
      </w:r>
      <w:r w:rsidR="00D64DFA" w:rsidRPr="00720EBF">
        <w:rPr>
          <w:rFonts w:ascii="Arial" w:hAnsi="Arial"/>
          <w:sz w:val="22"/>
        </w:rPr>
        <w:t>‘</w:t>
      </w:r>
      <w:r w:rsidRPr="00720EBF">
        <w:rPr>
          <w:rFonts w:ascii="Arial" w:hAnsi="Arial"/>
          <w:sz w:val="22"/>
        </w:rPr>
        <w:t>how</w:t>
      </w:r>
      <w:r w:rsidR="00D64DFA" w:rsidRPr="00720EBF">
        <w:rPr>
          <w:rFonts w:ascii="Arial" w:hAnsi="Arial"/>
          <w:sz w:val="22"/>
        </w:rPr>
        <w:t>’</w:t>
      </w:r>
      <w:r w:rsidRPr="00720EBF">
        <w:rPr>
          <w:rFonts w:ascii="Arial" w:hAnsi="Arial"/>
          <w:sz w:val="22"/>
        </w:rPr>
        <w:t xml:space="preserve"> – for example, how to calculate the answer to a particular example involving ratio. Our instrument did not require participants to carry out calculations, so in general did not allow us to draw inferences in this respect.  Some responses did include arithmetic or algebraic calculations, mostly correct but some containing errors. However, the majority did not include calculations</w:t>
      </w:r>
      <w:r w:rsidR="00BA7A97" w:rsidRPr="00720EBF">
        <w:rPr>
          <w:rFonts w:ascii="Arial" w:hAnsi="Arial"/>
          <w:sz w:val="22"/>
        </w:rPr>
        <w:t xml:space="preserve">. </w:t>
      </w:r>
      <w:r w:rsidRPr="00720EBF">
        <w:rPr>
          <w:rFonts w:ascii="Arial" w:hAnsi="Arial"/>
          <w:sz w:val="22"/>
        </w:rPr>
        <w:t xml:space="preserve">  It is noted also that the responses to question 3 do not always contribute to the identification of relational understanding.  The responses revealed in general that the participants had Shulman’s knowledge </w:t>
      </w:r>
      <w:r w:rsidR="00D64DFA" w:rsidRPr="00720EBF">
        <w:rPr>
          <w:rFonts w:ascii="Arial" w:hAnsi="Arial"/>
          <w:sz w:val="22"/>
        </w:rPr>
        <w:t>‘</w:t>
      </w:r>
      <w:r w:rsidRPr="00720EBF">
        <w:rPr>
          <w:rFonts w:ascii="Arial" w:hAnsi="Arial"/>
          <w:sz w:val="22"/>
        </w:rPr>
        <w:t>that</w:t>
      </w:r>
      <w:r w:rsidR="00D64DFA" w:rsidRPr="00720EBF">
        <w:rPr>
          <w:rFonts w:ascii="Arial" w:hAnsi="Arial"/>
          <w:sz w:val="22"/>
        </w:rPr>
        <w:t>’</w:t>
      </w:r>
      <w:r w:rsidRPr="00720EBF">
        <w:rPr>
          <w:rFonts w:ascii="Arial" w:hAnsi="Arial"/>
          <w:sz w:val="22"/>
        </w:rPr>
        <w:t xml:space="preserve"> (for example, that the colon symbol is used to represent ratio). </w:t>
      </w:r>
      <w:r w:rsidR="008D03C7" w:rsidRPr="00720EBF">
        <w:rPr>
          <w:rFonts w:ascii="Arial" w:hAnsi="Arial"/>
          <w:sz w:val="22"/>
        </w:rPr>
        <w:t xml:space="preserve"> </w:t>
      </w:r>
      <w:r w:rsidRPr="00720EBF">
        <w:rPr>
          <w:rFonts w:ascii="Arial" w:hAnsi="Arial"/>
          <w:sz w:val="22"/>
        </w:rPr>
        <w:t>The form of the question did not require them to expand their answers or to display their relational understanding, though</w:t>
      </w:r>
      <w:r w:rsidR="00C87F8B" w:rsidRPr="00720EBF">
        <w:rPr>
          <w:rFonts w:ascii="Arial" w:hAnsi="Arial"/>
          <w:sz w:val="22"/>
        </w:rPr>
        <w:t xml:space="preserve"> some participants did so.</w:t>
      </w:r>
    </w:p>
    <w:p w:rsidR="00EC7F63" w:rsidRPr="00720EBF" w:rsidRDefault="00EC7F63" w:rsidP="002623BC">
      <w:pPr>
        <w:spacing w:line="360" w:lineRule="auto"/>
        <w:jc w:val="both"/>
        <w:rPr>
          <w:rFonts w:ascii="Arial" w:hAnsi="Arial"/>
          <w:sz w:val="22"/>
        </w:rPr>
      </w:pPr>
    </w:p>
    <w:p w:rsidR="00EC7F63" w:rsidRPr="00720EBF" w:rsidRDefault="00EC7F63" w:rsidP="002623BC">
      <w:pPr>
        <w:spacing w:line="360" w:lineRule="auto"/>
        <w:jc w:val="both"/>
        <w:rPr>
          <w:rFonts w:ascii="Arial" w:hAnsi="Arial"/>
          <w:sz w:val="22"/>
        </w:rPr>
      </w:pPr>
      <w:r w:rsidRPr="00720EBF">
        <w:rPr>
          <w:rFonts w:ascii="Arial" w:hAnsi="Arial"/>
          <w:sz w:val="22"/>
        </w:rPr>
        <w:t xml:space="preserve">We point out above that, in responding to the questionnaire, some participants provided multiple meanings or representations.  In some cases these were instances of the same basic representation (for example, 2 : 1 and </w:t>
      </w:r>
      <w:r w:rsidRPr="00720EBF">
        <w:rPr>
          <w:rFonts w:ascii="Arial" w:hAnsi="Arial"/>
          <w:i/>
          <w:sz w:val="22"/>
        </w:rPr>
        <w:t>x</w:t>
      </w:r>
      <w:r w:rsidRPr="00720EBF">
        <w:rPr>
          <w:rFonts w:ascii="Arial" w:hAnsi="Arial"/>
          <w:sz w:val="22"/>
        </w:rPr>
        <w:t xml:space="preserve"> : </w:t>
      </w:r>
      <w:r w:rsidRPr="00720EBF">
        <w:rPr>
          <w:rFonts w:ascii="Arial" w:hAnsi="Arial"/>
          <w:i/>
          <w:sz w:val="22"/>
        </w:rPr>
        <w:t>y</w:t>
      </w:r>
      <w:r w:rsidRPr="00720EBF">
        <w:rPr>
          <w:rFonts w:ascii="Arial" w:hAnsi="Arial"/>
          <w:sz w:val="22"/>
        </w:rPr>
        <w:t>); in other cases, the representations were fundamentally different.</w:t>
      </w:r>
      <w:r w:rsidR="000C5D3F" w:rsidRPr="00720EBF">
        <w:rPr>
          <w:rFonts w:ascii="Arial" w:hAnsi="Arial"/>
          <w:sz w:val="22"/>
        </w:rPr>
        <w:t xml:space="preserve"> </w:t>
      </w:r>
      <w:r w:rsidRPr="00720EBF">
        <w:rPr>
          <w:rFonts w:ascii="Arial" w:hAnsi="Arial"/>
          <w:sz w:val="22"/>
        </w:rPr>
        <w:t xml:space="preserve"> </w:t>
      </w:r>
      <w:r w:rsidR="004C42B9" w:rsidRPr="00720EBF">
        <w:rPr>
          <w:rFonts w:ascii="Arial" w:hAnsi="Arial"/>
          <w:sz w:val="22"/>
        </w:rPr>
        <w:t>Crowley and</w:t>
      </w:r>
      <w:r w:rsidR="000C5D3F" w:rsidRPr="00720EBF">
        <w:rPr>
          <w:rFonts w:ascii="Arial" w:hAnsi="Arial"/>
          <w:sz w:val="22"/>
        </w:rPr>
        <w:t xml:space="preserve"> Tall (2006</w:t>
      </w:r>
      <w:r w:rsidR="004C42B9" w:rsidRPr="00720EBF">
        <w:rPr>
          <w:rFonts w:ascii="Arial" w:hAnsi="Arial"/>
          <w:sz w:val="22"/>
        </w:rPr>
        <w:t xml:space="preserve">, </w:t>
      </w:r>
      <w:r w:rsidR="000C5D3F" w:rsidRPr="00720EBF">
        <w:rPr>
          <w:rFonts w:ascii="Arial" w:hAnsi="Arial"/>
          <w:sz w:val="22"/>
        </w:rPr>
        <w:t xml:space="preserve">57), seeking to understand differences in subsequent performance between two students who initially achieved similar test scores, propose a theory suggesting that </w:t>
      </w:r>
      <w:r w:rsidR="00D64DFA" w:rsidRPr="00720EBF">
        <w:rPr>
          <w:rFonts w:ascii="Arial" w:hAnsi="Arial"/>
          <w:sz w:val="22"/>
        </w:rPr>
        <w:t>‘</w:t>
      </w:r>
      <w:r w:rsidR="000C5D3F" w:rsidRPr="00720EBF">
        <w:rPr>
          <w:rFonts w:ascii="Arial" w:hAnsi="Arial"/>
          <w:iCs/>
          <w:color w:val="000000"/>
          <w:sz w:val="22"/>
          <w:szCs w:val="27"/>
        </w:rPr>
        <w:t>mental structures … [are] rich and well-connected in those who succeed, but limited and poorly connected in those who eventually fail</w:t>
      </w:r>
      <w:r w:rsidR="000C5D3F" w:rsidRPr="00720EBF">
        <w:rPr>
          <w:rFonts w:ascii="Arial" w:hAnsi="Arial"/>
          <w:sz w:val="22"/>
        </w:rPr>
        <w:t>.</w:t>
      </w:r>
      <w:r w:rsidR="00D64DFA" w:rsidRPr="00720EBF">
        <w:rPr>
          <w:rFonts w:ascii="Arial" w:hAnsi="Arial"/>
          <w:sz w:val="22"/>
        </w:rPr>
        <w:t>’</w:t>
      </w:r>
      <w:r w:rsidR="000C5D3F" w:rsidRPr="00720EBF">
        <w:rPr>
          <w:rFonts w:ascii="Arial" w:hAnsi="Arial"/>
          <w:sz w:val="22"/>
        </w:rPr>
        <w:t xml:space="preserve">  The successful student </w:t>
      </w:r>
      <w:r w:rsidR="00D64DFA" w:rsidRPr="00720EBF">
        <w:rPr>
          <w:rFonts w:ascii="Arial" w:hAnsi="Arial"/>
          <w:sz w:val="22"/>
        </w:rPr>
        <w:t>‘</w:t>
      </w:r>
      <w:r w:rsidR="000C5D3F" w:rsidRPr="00720EBF">
        <w:rPr>
          <w:rFonts w:ascii="Arial" w:hAnsi="Arial" w:cs="Times New Roman"/>
          <w:color w:val="000000"/>
          <w:sz w:val="22"/>
          <w:szCs w:val="27"/>
        </w:rPr>
        <w:t>demonstrated links between graphical and symbolic representations, as well as links to and between procedures</w:t>
      </w:r>
      <w:r w:rsidR="00D64DFA" w:rsidRPr="00720EBF">
        <w:rPr>
          <w:rFonts w:ascii="Arial" w:hAnsi="Arial" w:cs="Times New Roman"/>
          <w:color w:val="000000"/>
          <w:sz w:val="22"/>
          <w:szCs w:val="27"/>
        </w:rPr>
        <w:t>’</w:t>
      </w:r>
      <w:r w:rsidR="000C5D3F" w:rsidRPr="00720EBF">
        <w:rPr>
          <w:rFonts w:ascii="Arial" w:hAnsi="Arial" w:cs="Times New Roman"/>
          <w:color w:val="000000"/>
          <w:sz w:val="22"/>
          <w:szCs w:val="27"/>
        </w:rPr>
        <w:t xml:space="preserve">; the unsuccessful student </w:t>
      </w:r>
      <w:r w:rsidR="00D64DFA" w:rsidRPr="00720EBF">
        <w:rPr>
          <w:rFonts w:ascii="Arial" w:hAnsi="Arial" w:cs="Times New Roman"/>
          <w:color w:val="000000"/>
          <w:sz w:val="22"/>
          <w:szCs w:val="27"/>
        </w:rPr>
        <w:t>‘</w:t>
      </w:r>
      <w:r w:rsidR="000C5D3F" w:rsidRPr="00720EBF">
        <w:rPr>
          <w:rFonts w:ascii="Arial" w:hAnsi="Arial" w:cs="Times New Roman"/>
          <w:color w:val="000000"/>
          <w:sz w:val="22"/>
          <w:szCs w:val="27"/>
        </w:rPr>
        <w:t>merely learnt a set of procedures</w:t>
      </w:r>
      <w:r w:rsidR="00D64DFA" w:rsidRPr="00720EBF">
        <w:rPr>
          <w:rFonts w:ascii="Arial" w:hAnsi="Arial" w:cs="Times New Roman"/>
          <w:color w:val="000000"/>
          <w:sz w:val="22"/>
          <w:szCs w:val="27"/>
        </w:rPr>
        <w:t>’</w:t>
      </w:r>
      <w:r w:rsidR="000C5D3F" w:rsidRPr="00720EBF">
        <w:rPr>
          <w:rFonts w:ascii="Arial" w:hAnsi="Arial" w:cs="Times New Roman"/>
          <w:color w:val="000000"/>
          <w:sz w:val="22"/>
          <w:szCs w:val="27"/>
        </w:rPr>
        <w:t xml:space="preserve"> which were </w:t>
      </w:r>
      <w:r w:rsidR="00D64DFA" w:rsidRPr="00720EBF">
        <w:rPr>
          <w:rFonts w:ascii="Arial" w:hAnsi="Arial" w:cs="Times New Roman"/>
          <w:color w:val="000000"/>
          <w:sz w:val="22"/>
          <w:szCs w:val="27"/>
        </w:rPr>
        <w:t>‘</w:t>
      </w:r>
      <w:r w:rsidR="000C5D3F" w:rsidRPr="00720EBF">
        <w:rPr>
          <w:rFonts w:ascii="Arial" w:hAnsi="Arial" w:cs="Times New Roman"/>
          <w:color w:val="000000"/>
          <w:sz w:val="22"/>
          <w:szCs w:val="27"/>
        </w:rPr>
        <w:t>not organized in a useful way that would allow her to build on them</w:t>
      </w:r>
      <w:r w:rsidR="00D64DFA" w:rsidRPr="00720EBF">
        <w:rPr>
          <w:rFonts w:ascii="Arial" w:hAnsi="Arial" w:cs="Times New Roman"/>
          <w:color w:val="000000"/>
          <w:sz w:val="22"/>
          <w:szCs w:val="27"/>
        </w:rPr>
        <w:t>’</w:t>
      </w:r>
      <w:r w:rsidR="00676A4A" w:rsidRPr="00720EBF">
        <w:rPr>
          <w:rFonts w:ascii="Arial" w:hAnsi="Arial" w:cs="Times New Roman"/>
          <w:color w:val="000000"/>
          <w:sz w:val="22"/>
          <w:szCs w:val="27"/>
        </w:rPr>
        <w:t xml:space="preserve"> (</w:t>
      </w:r>
      <w:r w:rsidR="004C42B9" w:rsidRPr="00720EBF">
        <w:rPr>
          <w:rFonts w:ascii="Arial" w:hAnsi="Arial" w:cs="Times New Roman"/>
          <w:color w:val="000000"/>
          <w:sz w:val="22"/>
          <w:szCs w:val="27"/>
        </w:rPr>
        <w:t>Crowley</w:t>
      </w:r>
      <w:r w:rsidR="00662A56">
        <w:rPr>
          <w:rFonts w:ascii="Arial" w:hAnsi="Arial" w:cs="Times New Roman"/>
          <w:color w:val="000000"/>
          <w:sz w:val="22"/>
          <w:szCs w:val="27"/>
        </w:rPr>
        <w:t>,</w:t>
      </w:r>
      <w:r w:rsidR="004C42B9" w:rsidRPr="00720EBF">
        <w:rPr>
          <w:rFonts w:ascii="Arial" w:hAnsi="Arial" w:cs="Times New Roman"/>
          <w:color w:val="000000"/>
          <w:sz w:val="22"/>
          <w:szCs w:val="27"/>
        </w:rPr>
        <w:t xml:space="preserve"> &amp; Tall</w:t>
      </w:r>
      <w:r w:rsidR="002623BC">
        <w:rPr>
          <w:rFonts w:ascii="Arial" w:hAnsi="Arial" w:cs="Times New Roman"/>
          <w:color w:val="000000"/>
          <w:sz w:val="22"/>
          <w:szCs w:val="27"/>
        </w:rPr>
        <w:t xml:space="preserve"> 2006, </w:t>
      </w:r>
      <w:r w:rsidR="00676A4A" w:rsidRPr="00720EBF">
        <w:rPr>
          <w:rFonts w:ascii="Arial" w:hAnsi="Arial" w:cs="Times New Roman"/>
          <w:color w:val="000000"/>
          <w:sz w:val="22"/>
          <w:szCs w:val="27"/>
        </w:rPr>
        <w:t xml:space="preserve">64-65). </w:t>
      </w:r>
      <w:r w:rsidR="000C5D3F" w:rsidRPr="00720EBF">
        <w:rPr>
          <w:rFonts w:ascii="Arial" w:hAnsi="Arial"/>
          <w:sz w:val="22"/>
        </w:rPr>
        <w:t xml:space="preserve"> </w:t>
      </w:r>
      <w:r w:rsidR="00676A4A" w:rsidRPr="00720EBF">
        <w:rPr>
          <w:rFonts w:ascii="Arial" w:hAnsi="Arial"/>
          <w:sz w:val="22"/>
        </w:rPr>
        <w:t xml:space="preserve">The descriptions highlight the essential difference between relational and instrumental understanding.  </w:t>
      </w:r>
      <w:r w:rsidRPr="00720EBF">
        <w:rPr>
          <w:rFonts w:ascii="Arial" w:hAnsi="Arial"/>
          <w:sz w:val="22"/>
        </w:rPr>
        <w:t xml:space="preserve">From examining </w:t>
      </w:r>
      <w:r w:rsidR="000C5D3F" w:rsidRPr="00720EBF">
        <w:rPr>
          <w:rFonts w:ascii="Arial" w:hAnsi="Arial"/>
          <w:sz w:val="22"/>
        </w:rPr>
        <w:t>our</w:t>
      </w:r>
      <w:r w:rsidRPr="00720EBF">
        <w:rPr>
          <w:rFonts w:ascii="Arial" w:hAnsi="Arial"/>
          <w:sz w:val="22"/>
        </w:rPr>
        <w:t xml:space="preserve"> data in the light of </w:t>
      </w:r>
      <w:r w:rsidR="000C5D3F" w:rsidRPr="00720EBF">
        <w:rPr>
          <w:rFonts w:ascii="Arial" w:hAnsi="Arial"/>
          <w:sz w:val="22"/>
        </w:rPr>
        <w:t>this work</w:t>
      </w:r>
      <w:r w:rsidRPr="00720EBF">
        <w:rPr>
          <w:rFonts w:ascii="Arial" w:hAnsi="Arial"/>
          <w:sz w:val="22"/>
        </w:rPr>
        <w:t xml:space="preserve">, we conjecture that the participants using more representations, and especially representations of different types, are displaying more relational understanding.  </w:t>
      </w:r>
    </w:p>
    <w:p w:rsidR="00EC7F63" w:rsidRPr="00720EBF" w:rsidRDefault="00EC7F63" w:rsidP="002623BC">
      <w:pPr>
        <w:spacing w:line="360" w:lineRule="auto"/>
        <w:jc w:val="both"/>
        <w:rPr>
          <w:rFonts w:ascii="Arial" w:hAnsi="Arial"/>
          <w:sz w:val="22"/>
        </w:rPr>
      </w:pPr>
    </w:p>
    <w:p w:rsidR="00EC7F63" w:rsidRPr="00720EBF" w:rsidRDefault="00FB73ED" w:rsidP="002623BC">
      <w:pPr>
        <w:spacing w:line="360" w:lineRule="auto"/>
        <w:jc w:val="both"/>
        <w:rPr>
          <w:rFonts w:ascii="Arial" w:hAnsi="Arial"/>
          <w:sz w:val="22"/>
        </w:rPr>
      </w:pPr>
      <w:r w:rsidRPr="00720EBF">
        <w:rPr>
          <w:rFonts w:ascii="Arial" w:hAnsi="Arial"/>
          <w:b/>
          <w:sz w:val="22"/>
        </w:rPr>
        <w:t>Table 3</w:t>
      </w:r>
      <w:r w:rsidR="00E10A15" w:rsidRPr="00720EBF">
        <w:rPr>
          <w:rFonts w:ascii="Arial" w:hAnsi="Arial"/>
          <w:b/>
          <w:sz w:val="22"/>
        </w:rPr>
        <w:t xml:space="preserve">:  </w:t>
      </w:r>
      <w:r w:rsidR="00E10A15" w:rsidRPr="00720EBF">
        <w:rPr>
          <w:rFonts w:ascii="Arial" w:hAnsi="Arial"/>
          <w:sz w:val="22"/>
        </w:rPr>
        <w:t>Conjectured indicators of presence or absence of relational understanding</w:t>
      </w:r>
    </w:p>
    <w:tbl>
      <w:tblPr>
        <w:tblStyle w:val="TableGrid"/>
        <w:tblW w:w="0" w:type="auto"/>
        <w:jc w:val="center"/>
        <w:tblLook w:val="04A0"/>
      </w:tblPr>
      <w:tblGrid>
        <w:gridCol w:w="3794"/>
        <w:gridCol w:w="4394"/>
      </w:tblGrid>
      <w:tr w:rsidR="00633A22" w:rsidRPr="00720EBF">
        <w:trPr>
          <w:jc w:val="center"/>
        </w:trPr>
        <w:tc>
          <w:tcPr>
            <w:tcW w:w="3794" w:type="dxa"/>
          </w:tcPr>
          <w:p w:rsidR="00633A22" w:rsidRPr="00720EBF" w:rsidRDefault="00633A22" w:rsidP="00DF3ACD">
            <w:pPr>
              <w:spacing w:line="360" w:lineRule="auto"/>
              <w:jc w:val="center"/>
              <w:rPr>
                <w:rFonts w:ascii="Arial" w:hAnsi="Arial"/>
                <w:b/>
              </w:rPr>
            </w:pPr>
            <w:r w:rsidRPr="00720EBF">
              <w:rPr>
                <w:rFonts w:ascii="Arial" w:hAnsi="Arial"/>
                <w:b/>
                <w:bCs/>
                <w:lang w:val="en-GB"/>
              </w:rPr>
              <w:t>Displays relational understanding</w:t>
            </w:r>
          </w:p>
        </w:tc>
        <w:tc>
          <w:tcPr>
            <w:tcW w:w="4394" w:type="dxa"/>
          </w:tcPr>
          <w:p w:rsidR="00633A22" w:rsidRPr="00720EBF" w:rsidRDefault="00633A22" w:rsidP="00DF3ACD">
            <w:pPr>
              <w:spacing w:line="360" w:lineRule="auto"/>
              <w:jc w:val="center"/>
              <w:rPr>
                <w:rFonts w:ascii="Arial" w:hAnsi="Arial"/>
                <w:b/>
                <w:lang w:val="en-US"/>
              </w:rPr>
            </w:pPr>
            <w:r w:rsidRPr="00720EBF">
              <w:rPr>
                <w:rFonts w:ascii="Arial" w:hAnsi="Arial"/>
                <w:b/>
                <w:bCs/>
                <w:lang w:val="en-GB"/>
              </w:rPr>
              <w:t>Does not display relational understanding</w:t>
            </w:r>
          </w:p>
        </w:tc>
      </w:tr>
      <w:tr w:rsidR="00633A22" w:rsidRPr="00720EBF">
        <w:trPr>
          <w:jc w:val="center"/>
        </w:trPr>
        <w:tc>
          <w:tcPr>
            <w:tcW w:w="3794" w:type="dxa"/>
          </w:tcPr>
          <w:p w:rsidR="00633A22" w:rsidRPr="00720EBF" w:rsidRDefault="00633A22" w:rsidP="00DF3ACD">
            <w:pPr>
              <w:spacing w:line="360" w:lineRule="auto"/>
              <w:jc w:val="center"/>
              <w:rPr>
                <w:rFonts w:ascii="Arial" w:hAnsi="Arial"/>
                <w:lang w:val="en-US"/>
              </w:rPr>
            </w:pPr>
            <w:r w:rsidRPr="00720EBF">
              <w:rPr>
                <w:rFonts w:ascii="Arial" w:hAnsi="Arial"/>
                <w:lang w:val="en-US"/>
              </w:rPr>
              <w:t>Meaning of ratio reflects two variables</w:t>
            </w:r>
          </w:p>
        </w:tc>
        <w:tc>
          <w:tcPr>
            <w:tcW w:w="4394" w:type="dxa"/>
          </w:tcPr>
          <w:p w:rsidR="00633A22" w:rsidRPr="00720EBF" w:rsidRDefault="00633A22" w:rsidP="00DF3ACD">
            <w:pPr>
              <w:spacing w:line="360" w:lineRule="auto"/>
              <w:jc w:val="center"/>
              <w:rPr>
                <w:rFonts w:ascii="Arial" w:hAnsi="Arial"/>
                <w:lang w:val="en-US"/>
              </w:rPr>
            </w:pPr>
            <w:r w:rsidRPr="00720EBF">
              <w:rPr>
                <w:rFonts w:ascii="Arial" w:hAnsi="Arial"/>
                <w:lang w:val="en-US"/>
              </w:rPr>
              <w:t>Meaning of ratio does not reflect two variables</w:t>
            </w:r>
          </w:p>
        </w:tc>
      </w:tr>
      <w:tr w:rsidR="00633A22" w:rsidRPr="00720EBF">
        <w:trPr>
          <w:jc w:val="center"/>
        </w:trPr>
        <w:tc>
          <w:tcPr>
            <w:tcW w:w="3794" w:type="dxa"/>
          </w:tcPr>
          <w:p w:rsidR="00633A22" w:rsidRPr="00720EBF" w:rsidRDefault="00633A22" w:rsidP="00DF3ACD">
            <w:pPr>
              <w:spacing w:line="360" w:lineRule="auto"/>
              <w:jc w:val="center"/>
              <w:rPr>
                <w:rFonts w:ascii="Arial" w:hAnsi="Arial"/>
              </w:rPr>
            </w:pPr>
            <w:r w:rsidRPr="00720EBF">
              <w:rPr>
                <w:rFonts w:ascii="Arial" w:hAnsi="Arial"/>
              </w:rPr>
              <w:t>Provides many representations</w:t>
            </w:r>
          </w:p>
        </w:tc>
        <w:tc>
          <w:tcPr>
            <w:tcW w:w="4394" w:type="dxa"/>
          </w:tcPr>
          <w:p w:rsidR="00633A22" w:rsidRPr="00720EBF" w:rsidRDefault="00633A22" w:rsidP="00DF3ACD">
            <w:pPr>
              <w:spacing w:line="360" w:lineRule="auto"/>
              <w:jc w:val="center"/>
              <w:rPr>
                <w:rFonts w:ascii="Arial" w:hAnsi="Arial"/>
              </w:rPr>
            </w:pPr>
            <w:r w:rsidRPr="00720EBF">
              <w:rPr>
                <w:rFonts w:ascii="Arial" w:hAnsi="Arial"/>
              </w:rPr>
              <w:t>Provides few representations</w:t>
            </w:r>
          </w:p>
        </w:tc>
      </w:tr>
      <w:tr w:rsidR="00633A22" w:rsidRPr="00720EBF">
        <w:trPr>
          <w:jc w:val="center"/>
        </w:trPr>
        <w:tc>
          <w:tcPr>
            <w:tcW w:w="3794" w:type="dxa"/>
          </w:tcPr>
          <w:p w:rsidR="00633A22" w:rsidRPr="00720EBF" w:rsidRDefault="00633A22" w:rsidP="00DF3ACD">
            <w:pPr>
              <w:spacing w:line="360" w:lineRule="auto"/>
              <w:jc w:val="center"/>
              <w:rPr>
                <w:rFonts w:ascii="Arial" w:hAnsi="Arial"/>
                <w:lang w:val="en-US"/>
              </w:rPr>
            </w:pPr>
            <w:r w:rsidRPr="00720EBF">
              <w:rPr>
                <w:rFonts w:ascii="Arial" w:hAnsi="Arial"/>
                <w:lang w:val="en-US"/>
              </w:rPr>
              <w:t>Uses multiple types of representation</w:t>
            </w:r>
          </w:p>
        </w:tc>
        <w:tc>
          <w:tcPr>
            <w:tcW w:w="4394" w:type="dxa"/>
          </w:tcPr>
          <w:p w:rsidR="00633A22" w:rsidRPr="00720EBF" w:rsidRDefault="00633A22" w:rsidP="00DF3ACD">
            <w:pPr>
              <w:spacing w:line="360" w:lineRule="auto"/>
              <w:jc w:val="center"/>
              <w:rPr>
                <w:rFonts w:ascii="Arial" w:hAnsi="Arial"/>
                <w:lang w:val="en-US"/>
              </w:rPr>
            </w:pPr>
            <w:r w:rsidRPr="00720EBF">
              <w:rPr>
                <w:rFonts w:ascii="Arial" w:hAnsi="Arial"/>
                <w:lang w:val="en-US"/>
              </w:rPr>
              <w:t>Uses few types of representation</w:t>
            </w:r>
          </w:p>
        </w:tc>
      </w:tr>
      <w:tr w:rsidR="00633A22" w:rsidRPr="00720EBF">
        <w:trPr>
          <w:jc w:val="center"/>
        </w:trPr>
        <w:tc>
          <w:tcPr>
            <w:tcW w:w="3794" w:type="dxa"/>
          </w:tcPr>
          <w:p w:rsidR="00633A22" w:rsidRPr="00720EBF" w:rsidRDefault="00633A22" w:rsidP="00DF3ACD">
            <w:pPr>
              <w:spacing w:line="360" w:lineRule="auto"/>
              <w:jc w:val="center"/>
              <w:rPr>
                <w:rFonts w:ascii="Arial" w:hAnsi="Arial"/>
              </w:rPr>
            </w:pPr>
            <w:r w:rsidRPr="00720EBF">
              <w:rPr>
                <w:rFonts w:ascii="Arial" w:hAnsi="Arial"/>
              </w:rPr>
              <w:t>Cites / draws relevant applications</w:t>
            </w:r>
          </w:p>
        </w:tc>
        <w:tc>
          <w:tcPr>
            <w:tcW w:w="4394" w:type="dxa"/>
          </w:tcPr>
          <w:p w:rsidR="00633A22" w:rsidRPr="00720EBF" w:rsidRDefault="00541CC6" w:rsidP="00DF3ACD">
            <w:pPr>
              <w:spacing w:line="360" w:lineRule="auto"/>
              <w:jc w:val="center"/>
              <w:rPr>
                <w:rFonts w:ascii="Arial" w:hAnsi="Arial"/>
              </w:rPr>
            </w:pPr>
            <w:r w:rsidRPr="00720EBF">
              <w:rPr>
                <w:rFonts w:ascii="Arial" w:hAnsi="Arial"/>
              </w:rPr>
              <w:t>Provides symbolic represent</w:t>
            </w:r>
            <w:r w:rsidR="00633A22" w:rsidRPr="00720EBF">
              <w:rPr>
                <w:rFonts w:ascii="Arial" w:hAnsi="Arial"/>
              </w:rPr>
              <w:t>ations only</w:t>
            </w:r>
          </w:p>
        </w:tc>
      </w:tr>
    </w:tbl>
    <w:p w:rsidR="000E73A7" w:rsidRDefault="000E73A7" w:rsidP="002623BC">
      <w:pPr>
        <w:spacing w:line="360" w:lineRule="auto"/>
        <w:jc w:val="both"/>
        <w:rPr>
          <w:rFonts w:ascii="Arial" w:hAnsi="Arial"/>
          <w:sz w:val="22"/>
        </w:rPr>
      </w:pPr>
    </w:p>
    <w:p w:rsidR="000E73A7" w:rsidRPr="00720EBF" w:rsidRDefault="000E73A7" w:rsidP="000E73A7">
      <w:pPr>
        <w:spacing w:line="360" w:lineRule="auto"/>
        <w:jc w:val="both"/>
        <w:rPr>
          <w:rFonts w:ascii="Arial" w:hAnsi="Arial"/>
          <w:sz w:val="22"/>
        </w:rPr>
      </w:pPr>
      <w:r w:rsidRPr="00720EBF">
        <w:rPr>
          <w:rFonts w:ascii="Arial" w:hAnsi="Arial"/>
          <w:sz w:val="22"/>
        </w:rPr>
        <w:t xml:space="preserve">A further feature of the responses especially to question 4 was the presence or absence of drawings or other attempts to show applications, rather than (or as well as) repeating symbolic representations from question 3.  It can be inferred that familiarity with the contexts in which ratio is used is another indicator of relational understanding.  Hence, overall, </w:t>
      </w:r>
      <w:r w:rsidRPr="00720EBF">
        <w:rPr>
          <w:rFonts w:ascii="Arial" w:hAnsi="Arial"/>
          <w:i/>
          <w:sz w:val="22"/>
        </w:rPr>
        <w:t>we conjecture that the elements listed in Table 3 are likely indicators of whether or not participants have relational understanding</w:t>
      </w:r>
      <w:r w:rsidRPr="00720EBF">
        <w:rPr>
          <w:rFonts w:ascii="Arial" w:hAnsi="Arial"/>
          <w:sz w:val="22"/>
        </w:rPr>
        <w:t>.</w:t>
      </w:r>
    </w:p>
    <w:p w:rsidR="00FF3BD5" w:rsidRPr="00720EBF" w:rsidRDefault="00FF3BD5" w:rsidP="002623BC">
      <w:pPr>
        <w:spacing w:line="360" w:lineRule="auto"/>
        <w:jc w:val="both"/>
        <w:rPr>
          <w:rFonts w:ascii="Arial" w:hAnsi="Arial"/>
          <w:sz w:val="22"/>
        </w:rPr>
      </w:pPr>
    </w:p>
    <w:p w:rsidR="00603C87" w:rsidRPr="00720EBF" w:rsidRDefault="001F464D" w:rsidP="002623BC">
      <w:pPr>
        <w:spacing w:line="360" w:lineRule="auto"/>
        <w:jc w:val="both"/>
        <w:rPr>
          <w:rFonts w:ascii="Arial" w:hAnsi="Arial"/>
          <w:sz w:val="22"/>
        </w:rPr>
      </w:pPr>
      <w:r w:rsidRPr="00720EBF">
        <w:rPr>
          <w:rFonts w:ascii="Arial" w:hAnsi="Arial"/>
          <w:sz w:val="22"/>
        </w:rPr>
        <w:t>As pointed out in the i</w:t>
      </w:r>
      <w:r w:rsidR="00FF3BD5" w:rsidRPr="00720EBF">
        <w:rPr>
          <w:rFonts w:ascii="Arial" w:hAnsi="Arial"/>
          <w:sz w:val="22"/>
        </w:rPr>
        <w:t xml:space="preserve">ntroduction, the aim of our study is to examine our data for </w:t>
      </w:r>
      <w:r w:rsidR="00FF3BD5" w:rsidRPr="00720EBF">
        <w:rPr>
          <w:rFonts w:ascii="Arial" w:hAnsi="Arial"/>
          <w:i/>
          <w:sz w:val="22"/>
        </w:rPr>
        <w:t>similarities</w:t>
      </w:r>
      <w:r w:rsidR="00FF3BD5" w:rsidRPr="00720EBF">
        <w:rPr>
          <w:rFonts w:ascii="Arial" w:hAnsi="Arial"/>
          <w:sz w:val="22"/>
        </w:rPr>
        <w:t xml:space="preserve"> across sites (such as countries, or universities within countries); this is not a study of between-country differences.  However, Nunes and Bryant (1997) assert that mathematics is a cultural invent</w:t>
      </w:r>
      <w:r w:rsidR="004C42B9" w:rsidRPr="00720EBF">
        <w:rPr>
          <w:rFonts w:ascii="Arial" w:hAnsi="Arial"/>
          <w:sz w:val="22"/>
        </w:rPr>
        <w:t xml:space="preserve">ion; moreover, as Nunes (1997, </w:t>
      </w:r>
      <w:r w:rsidR="00FF3BD5" w:rsidRPr="00720EBF">
        <w:rPr>
          <w:rFonts w:ascii="Arial" w:hAnsi="Arial"/>
          <w:sz w:val="22"/>
        </w:rPr>
        <w:t xml:space="preserve">32) points out, the subject is learnt in the context of cultural practices.  Thus, there may be culturally specific elements in our data that need to be identified and borne in mind during the search for similarities.  The clearest example above occurs in the case of the Portuguese students who interpreted the Portuguese word for ratio – </w:t>
      </w:r>
      <w:r w:rsidR="004A25F1" w:rsidRPr="00720EBF">
        <w:rPr>
          <w:rFonts w:ascii="Arial" w:hAnsi="Arial"/>
          <w:i/>
          <w:iCs/>
          <w:sz w:val="22"/>
          <w:lang w:val="en-GB"/>
        </w:rPr>
        <w:t>razão</w:t>
      </w:r>
      <w:r w:rsidR="004A25F1" w:rsidRPr="00720EBF">
        <w:rPr>
          <w:rFonts w:ascii="Arial" w:hAnsi="Arial"/>
          <w:sz w:val="22"/>
        </w:rPr>
        <w:t xml:space="preserve"> </w:t>
      </w:r>
      <w:r w:rsidR="00FF3BD5" w:rsidRPr="00720EBF">
        <w:rPr>
          <w:rFonts w:ascii="Arial" w:hAnsi="Arial"/>
          <w:sz w:val="22"/>
        </w:rPr>
        <w:t xml:space="preserve">– in terms of its everyday, rather than its mathematical meaning.  </w:t>
      </w:r>
      <w:r w:rsidR="00C87F8B" w:rsidRPr="00720EBF">
        <w:rPr>
          <w:rFonts w:ascii="Arial" w:hAnsi="Arial"/>
          <w:sz w:val="22"/>
        </w:rPr>
        <w:t xml:space="preserve">As this occurred chiefly for prospective science teachers rather than prospective mathematics teachers, a subject-specific culture may be operating here.  </w:t>
      </w:r>
      <w:r w:rsidR="00FF3BD5" w:rsidRPr="00720EBF">
        <w:rPr>
          <w:rFonts w:ascii="Arial" w:hAnsi="Arial"/>
          <w:sz w:val="22"/>
        </w:rPr>
        <w:t xml:space="preserve">For </w:t>
      </w:r>
      <w:r w:rsidR="00C87F8B" w:rsidRPr="00720EBF">
        <w:rPr>
          <w:rFonts w:ascii="Arial" w:hAnsi="Arial"/>
          <w:sz w:val="22"/>
        </w:rPr>
        <w:t>native speakers of English, the</w:t>
      </w:r>
      <w:r w:rsidR="00FF3BD5" w:rsidRPr="00720EBF">
        <w:rPr>
          <w:rFonts w:ascii="Arial" w:hAnsi="Arial"/>
          <w:sz w:val="22"/>
        </w:rPr>
        <w:t xml:space="preserve"> problem did not arise.  In the </w:t>
      </w:r>
      <w:r w:rsidR="00603C87" w:rsidRPr="00720EBF">
        <w:rPr>
          <w:rFonts w:ascii="Arial" w:hAnsi="Arial"/>
          <w:sz w:val="22"/>
        </w:rPr>
        <w:t>findings</w:t>
      </w:r>
      <w:r w:rsidR="00FF3BD5" w:rsidRPr="00720EBF">
        <w:rPr>
          <w:rFonts w:ascii="Arial" w:hAnsi="Arial"/>
          <w:sz w:val="22"/>
        </w:rPr>
        <w:t xml:space="preserve"> section, we dr</w:t>
      </w:r>
      <w:r w:rsidR="00825C17">
        <w:rPr>
          <w:rFonts w:ascii="Arial" w:hAnsi="Arial"/>
          <w:sz w:val="22"/>
        </w:rPr>
        <w:t>a</w:t>
      </w:r>
      <w:r w:rsidR="00FF3BD5" w:rsidRPr="00720EBF">
        <w:rPr>
          <w:rFonts w:ascii="Arial" w:hAnsi="Arial"/>
          <w:sz w:val="22"/>
        </w:rPr>
        <w:t>w attention to other instances where cultural practices within a country may well have affected the style and/or scope of the responses, and may mask underlying regularities in students’ understanding.</w:t>
      </w:r>
      <w:r w:rsidR="00662A56">
        <w:rPr>
          <w:rFonts w:ascii="Arial" w:hAnsi="Arial"/>
          <w:sz w:val="22"/>
        </w:rPr>
        <w:t xml:space="preserve"> </w:t>
      </w:r>
      <w:r w:rsidR="009364ED" w:rsidRPr="00720EBF">
        <w:rPr>
          <w:rFonts w:ascii="Arial" w:hAnsi="Arial"/>
          <w:sz w:val="22"/>
        </w:rPr>
        <w:t xml:space="preserve">A </w:t>
      </w:r>
      <w:r w:rsidR="0005664D" w:rsidRPr="00720EBF">
        <w:rPr>
          <w:rFonts w:ascii="Arial" w:hAnsi="Arial"/>
          <w:sz w:val="22"/>
        </w:rPr>
        <w:t xml:space="preserve">related </w:t>
      </w:r>
      <w:r w:rsidR="009364ED" w:rsidRPr="00720EBF">
        <w:rPr>
          <w:rFonts w:ascii="Arial" w:hAnsi="Arial"/>
          <w:sz w:val="22"/>
        </w:rPr>
        <w:t xml:space="preserve">point arose when this paper was presented at the ATEE conference in Eskisehir (August 2012). </w:t>
      </w:r>
      <w:r w:rsidR="0005664D" w:rsidRPr="00720EBF">
        <w:rPr>
          <w:rFonts w:ascii="Arial" w:hAnsi="Arial"/>
          <w:sz w:val="22"/>
        </w:rPr>
        <w:t xml:space="preserve"> </w:t>
      </w:r>
      <w:r w:rsidR="009364ED" w:rsidRPr="00720EBF">
        <w:rPr>
          <w:rFonts w:ascii="Arial" w:hAnsi="Arial"/>
          <w:sz w:val="22"/>
        </w:rPr>
        <w:t xml:space="preserve">Turkish members of the audience reacted negatively to </w:t>
      </w:r>
      <w:r w:rsidR="0005664D" w:rsidRPr="00720EBF">
        <w:rPr>
          <w:rFonts w:ascii="Arial" w:hAnsi="Arial"/>
          <w:sz w:val="22"/>
        </w:rPr>
        <w:t xml:space="preserve">the representation of </w:t>
      </w:r>
      <w:r w:rsidR="00D64DFA" w:rsidRPr="00720EBF">
        <w:rPr>
          <w:rFonts w:ascii="Arial" w:hAnsi="Arial"/>
          <w:sz w:val="22"/>
        </w:rPr>
        <w:t>‘</w:t>
      </w:r>
      <w:r w:rsidR="0005664D" w:rsidRPr="00720EBF">
        <w:rPr>
          <w:rFonts w:ascii="Arial" w:hAnsi="Arial"/>
          <w:sz w:val="22"/>
        </w:rPr>
        <w:t>one teacher to three students</w:t>
      </w:r>
      <w:r w:rsidR="00D64DFA" w:rsidRPr="00720EBF">
        <w:rPr>
          <w:rFonts w:ascii="Arial" w:hAnsi="Arial"/>
          <w:sz w:val="22"/>
        </w:rPr>
        <w:t>’</w:t>
      </w:r>
      <w:r w:rsidR="0005664D" w:rsidRPr="00720EBF">
        <w:rPr>
          <w:rFonts w:ascii="Arial" w:hAnsi="Arial"/>
          <w:sz w:val="22"/>
        </w:rPr>
        <w:t xml:space="preserve"> (Fig. 2), as the use of labels as illustrated in the figure was regarded, not as evidence of identification of two variables, but as being fundamentally incorrect.  Such cultural variations add a layer of challenge to international studies, </w:t>
      </w:r>
      <w:r w:rsidR="00B17E2C" w:rsidRPr="00720EBF">
        <w:rPr>
          <w:rFonts w:ascii="Arial" w:hAnsi="Arial"/>
          <w:sz w:val="22"/>
        </w:rPr>
        <w:t>but we do not regard them as invalidating the findings.</w:t>
      </w:r>
      <w:r w:rsidR="0005664D" w:rsidRPr="00720EBF">
        <w:rPr>
          <w:rFonts w:ascii="Arial" w:hAnsi="Arial"/>
          <w:sz w:val="22"/>
        </w:rPr>
        <w:t xml:space="preserve"> </w:t>
      </w:r>
    </w:p>
    <w:p w:rsidR="00603C87" w:rsidRPr="00720EBF" w:rsidRDefault="00603C87" w:rsidP="002623BC">
      <w:pPr>
        <w:spacing w:line="360" w:lineRule="auto"/>
        <w:jc w:val="both"/>
        <w:rPr>
          <w:rFonts w:ascii="Arial" w:hAnsi="Arial"/>
          <w:sz w:val="22"/>
        </w:rPr>
      </w:pPr>
    </w:p>
    <w:p w:rsidR="00603C87" w:rsidRPr="00720EBF" w:rsidRDefault="00603C87" w:rsidP="002623BC">
      <w:pPr>
        <w:spacing w:line="360" w:lineRule="auto"/>
        <w:jc w:val="both"/>
        <w:rPr>
          <w:rFonts w:ascii="Arial" w:hAnsi="Arial"/>
          <w:b/>
          <w:sz w:val="22"/>
        </w:rPr>
      </w:pPr>
      <w:r w:rsidRPr="00720EBF">
        <w:rPr>
          <w:rFonts w:ascii="Arial" w:hAnsi="Arial"/>
          <w:b/>
          <w:sz w:val="22"/>
        </w:rPr>
        <w:t>Conclusion</w:t>
      </w:r>
    </w:p>
    <w:p w:rsidR="007B6D17" w:rsidRPr="00720EBF" w:rsidRDefault="00A55FB7" w:rsidP="002623BC">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 xml:space="preserve">One of several limitations of this study </w:t>
      </w:r>
      <w:r w:rsidR="00653031">
        <w:rPr>
          <w:rFonts w:ascii="Arial" w:hAnsi="Arial" w:cs="Tahoma"/>
          <w:sz w:val="22"/>
          <w:szCs w:val="22"/>
        </w:rPr>
        <w:t>stems from the fact</w:t>
      </w:r>
      <w:r w:rsidRPr="00720EBF">
        <w:rPr>
          <w:rFonts w:ascii="Arial" w:hAnsi="Arial" w:cs="Tahoma"/>
          <w:sz w:val="22"/>
          <w:szCs w:val="22"/>
        </w:rPr>
        <w:t xml:space="preserve"> that the research on novice teachers indicates that they may use representations and definitions incorrectly in their teaching especially if student questions arise that stray beyond the novice teachers’ scripted lessons (Hogan, Rabi</w:t>
      </w:r>
      <w:r w:rsidR="00653031">
        <w:rPr>
          <w:rFonts w:ascii="Arial" w:hAnsi="Arial" w:cs="Tahoma"/>
          <w:sz w:val="22"/>
          <w:szCs w:val="22"/>
        </w:rPr>
        <w:t>nowitz, &amp; Craven</w:t>
      </w:r>
      <w:r w:rsidR="007B6D17" w:rsidRPr="00720EBF">
        <w:rPr>
          <w:rFonts w:ascii="Arial" w:hAnsi="Arial" w:cs="Tahoma"/>
          <w:sz w:val="22"/>
          <w:szCs w:val="22"/>
        </w:rPr>
        <w:t xml:space="preserve"> 2003). A</w:t>
      </w:r>
      <w:r w:rsidRPr="00720EBF">
        <w:rPr>
          <w:rFonts w:ascii="Arial" w:hAnsi="Arial" w:cs="Tahoma"/>
          <w:sz w:val="22"/>
          <w:szCs w:val="22"/>
        </w:rPr>
        <w:t xml:space="preserve"> limitation </w:t>
      </w:r>
      <w:r w:rsidR="007B6D17" w:rsidRPr="00720EBF">
        <w:rPr>
          <w:rFonts w:ascii="Arial" w:hAnsi="Arial" w:cs="Tahoma"/>
          <w:sz w:val="22"/>
          <w:szCs w:val="22"/>
        </w:rPr>
        <w:t xml:space="preserve">of the instrument </w:t>
      </w:r>
      <w:r w:rsidRPr="00720EBF">
        <w:rPr>
          <w:rFonts w:ascii="Arial" w:hAnsi="Arial" w:cs="Tahoma"/>
          <w:sz w:val="22"/>
          <w:szCs w:val="22"/>
        </w:rPr>
        <w:t xml:space="preserve">is that the participants in this study may not have taken the time to think deeply about their responses and therefore their ideas were not fully communicated.  </w:t>
      </w:r>
      <w:r w:rsidR="00653031">
        <w:rPr>
          <w:rFonts w:ascii="Arial" w:hAnsi="Arial" w:cs="Tahoma"/>
          <w:sz w:val="22"/>
          <w:szCs w:val="22"/>
        </w:rPr>
        <w:t>However, a</w:t>
      </w:r>
      <w:r w:rsidR="007B6D17" w:rsidRPr="00720EBF">
        <w:rPr>
          <w:rFonts w:ascii="Arial" w:hAnsi="Arial" w:cs="Tahoma"/>
          <w:sz w:val="22"/>
          <w:szCs w:val="22"/>
        </w:rPr>
        <w:t xml:space="preserve"> benefit of the instrument is that it can administered in </w:t>
      </w:r>
      <w:r w:rsidR="00653031">
        <w:rPr>
          <w:rFonts w:ascii="Arial" w:hAnsi="Arial" w:cs="Tahoma"/>
          <w:sz w:val="22"/>
          <w:szCs w:val="22"/>
        </w:rPr>
        <w:t xml:space="preserve">about </w:t>
      </w:r>
      <w:r w:rsidR="007B6D17" w:rsidRPr="00720EBF">
        <w:rPr>
          <w:rFonts w:ascii="Arial" w:hAnsi="Arial" w:cs="Tahoma"/>
          <w:sz w:val="22"/>
          <w:szCs w:val="22"/>
        </w:rPr>
        <w:t xml:space="preserve">10 minutes of classroom time, a </w:t>
      </w:r>
      <w:r w:rsidR="00653031">
        <w:rPr>
          <w:rFonts w:ascii="Arial" w:hAnsi="Arial" w:cs="Tahoma"/>
          <w:sz w:val="22"/>
          <w:szCs w:val="22"/>
        </w:rPr>
        <w:t xml:space="preserve">scarce </w:t>
      </w:r>
      <w:r w:rsidR="007B6D17" w:rsidRPr="00720EBF">
        <w:rPr>
          <w:rFonts w:ascii="Arial" w:hAnsi="Arial" w:cs="Tahoma"/>
          <w:sz w:val="22"/>
          <w:szCs w:val="22"/>
        </w:rPr>
        <w:t>commodity for every teacher educator</w:t>
      </w:r>
      <w:r w:rsidR="00653031">
        <w:rPr>
          <w:rFonts w:ascii="Arial" w:hAnsi="Arial" w:cs="Tahoma"/>
          <w:sz w:val="22"/>
          <w:szCs w:val="22"/>
        </w:rPr>
        <w:t>,</w:t>
      </w:r>
      <w:r w:rsidR="007B6D17" w:rsidRPr="00720EBF">
        <w:rPr>
          <w:rFonts w:ascii="Arial" w:hAnsi="Arial" w:cs="Tahoma"/>
          <w:sz w:val="22"/>
          <w:szCs w:val="22"/>
        </w:rPr>
        <w:t xml:space="preserve"> and </w:t>
      </w:r>
      <w:r w:rsidR="00653031">
        <w:rPr>
          <w:rFonts w:ascii="Arial" w:hAnsi="Arial" w:cs="Tahoma"/>
          <w:sz w:val="22"/>
          <w:szCs w:val="22"/>
        </w:rPr>
        <w:t>perhaps</w:t>
      </w:r>
      <w:r w:rsidR="007B6D17" w:rsidRPr="00720EBF">
        <w:rPr>
          <w:rFonts w:ascii="Arial" w:hAnsi="Arial" w:cs="Tahoma"/>
          <w:sz w:val="22"/>
          <w:szCs w:val="22"/>
        </w:rPr>
        <w:t xml:space="preserve"> </w:t>
      </w:r>
      <w:r w:rsidR="000E73A7">
        <w:rPr>
          <w:rFonts w:ascii="Arial" w:hAnsi="Arial" w:cs="Tahoma"/>
          <w:sz w:val="22"/>
          <w:szCs w:val="22"/>
        </w:rPr>
        <w:t>several of the questions m</w:t>
      </w:r>
      <w:r w:rsidR="00653031">
        <w:rPr>
          <w:rFonts w:ascii="Arial" w:hAnsi="Arial" w:cs="Tahoma"/>
          <w:sz w:val="22"/>
          <w:szCs w:val="22"/>
        </w:rPr>
        <w:t>a</w:t>
      </w:r>
      <w:r w:rsidR="000E73A7">
        <w:rPr>
          <w:rFonts w:ascii="Arial" w:hAnsi="Arial" w:cs="Tahoma"/>
          <w:sz w:val="22"/>
          <w:szCs w:val="22"/>
        </w:rPr>
        <w:t xml:space="preserve">y prove to be </w:t>
      </w:r>
      <w:r w:rsidR="007B6D17" w:rsidRPr="00720EBF">
        <w:rPr>
          <w:rFonts w:ascii="Arial" w:hAnsi="Arial" w:cs="Tahoma"/>
          <w:sz w:val="22"/>
          <w:szCs w:val="22"/>
        </w:rPr>
        <w:t xml:space="preserve">viable for use as a quick assessment tool. </w:t>
      </w:r>
    </w:p>
    <w:p w:rsidR="007B6D17" w:rsidRPr="00720EBF" w:rsidRDefault="007B6D17" w:rsidP="002623BC">
      <w:pPr>
        <w:widowControl w:val="0"/>
        <w:autoSpaceDE w:val="0"/>
        <w:autoSpaceDN w:val="0"/>
        <w:adjustRightInd w:val="0"/>
        <w:spacing w:line="360" w:lineRule="auto"/>
        <w:jc w:val="both"/>
        <w:rPr>
          <w:rFonts w:ascii="Arial" w:hAnsi="Arial" w:cs="Tahoma"/>
          <w:sz w:val="22"/>
          <w:szCs w:val="22"/>
        </w:rPr>
      </w:pPr>
    </w:p>
    <w:p w:rsidR="00A55FB7" w:rsidRPr="00720EBF" w:rsidRDefault="007B6D17" w:rsidP="002623BC">
      <w:pPr>
        <w:widowControl w:val="0"/>
        <w:autoSpaceDE w:val="0"/>
        <w:autoSpaceDN w:val="0"/>
        <w:adjustRightInd w:val="0"/>
        <w:spacing w:line="360" w:lineRule="auto"/>
        <w:jc w:val="both"/>
        <w:rPr>
          <w:rFonts w:ascii="Arial" w:hAnsi="Arial" w:cs="Tahoma"/>
          <w:sz w:val="22"/>
          <w:szCs w:val="22"/>
        </w:rPr>
      </w:pPr>
      <w:r w:rsidRPr="00720EBF">
        <w:rPr>
          <w:rFonts w:ascii="Arial" w:hAnsi="Arial" w:cs="Tahoma"/>
          <w:sz w:val="22"/>
          <w:szCs w:val="22"/>
        </w:rPr>
        <w:t xml:space="preserve">Future research plans </w:t>
      </w:r>
      <w:r w:rsidR="00A420BD" w:rsidRPr="00720EBF">
        <w:rPr>
          <w:rFonts w:ascii="Arial" w:hAnsi="Arial" w:cs="Tahoma"/>
          <w:sz w:val="22"/>
          <w:szCs w:val="22"/>
        </w:rPr>
        <w:t xml:space="preserve">for the RDC may </w:t>
      </w:r>
      <w:r w:rsidRPr="00720EBF">
        <w:rPr>
          <w:rFonts w:ascii="Arial" w:hAnsi="Arial" w:cs="Tahoma"/>
          <w:sz w:val="22"/>
          <w:szCs w:val="22"/>
        </w:rPr>
        <w:t>include the development of an interv</w:t>
      </w:r>
      <w:r w:rsidR="00653031">
        <w:rPr>
          <w:rFonts w:ascii="Arial" w:hAnsi="Arial" w:cs="Tahoma"/>
          <w:sz w:val="22"/>
          <w:szCs w:val="22"/>
        </w:rPr>
        <w:t>iew protocol to capture more in-</w:t>
      </w:r>
      <w:r w:rsidRPr="00720EBF">
        <w:rPr>
          <w:rFonts w:ascii="Arial" w:hAnsi="Arial" w:cs="Tahoma"/>
          <w:sz w:val="22"/>
          <w:szCs w:val="22"/>
        </w:rPr>
        <w:t xml:space="preserve">depth knowledge for teaching of ratio among prospective mathematics and science teachers. It may prove useful to incorporate lesson planning to enhance </w:t>
      </w:r>
      <w:r w:rsidR="00A420BD" w:rsidRPr="00720EBF">
        <w:rPr>
          <w:rFonts w:ascii="Arial" w:hAnsi="Arial" w:cs="Tahoma"/>
          <w:sz w:val="22"/>
          <w:szCs w:val="22"/>
        </w:rPr>
        <w:t xml:space="preserve">the findings and to perhaps investigate whether prospective teachers depend on both instrumental and relational knowledge when planning a lesson. </w:t>
      </w:r>
      <w:r w:rsidRPr="00720EBF">
        <w:rPr>
          <w:rFonts w:ascii="Arial" w:hAnsi="Arial" w:cs="Tahoma"/>
          <w:sz w:val="22"/>
          <w:szCs w:val="22"/>
        </w:rPr>
        <w:t xml:space="preserve"> </w:t>
      </w:r>
      <w:r w:rsidR="00D32A24" w:rsidRPr="00720EBF">
        <w:rPr>
          <w:rFonts w:ascii="Arial" w:hAnsi="Arial" w:cs="Tahoma"/>
          <w:sz w:val="22"/>
          <w:szCs w:val="22"/>
        </w:rPr>
        <w:t>Another approach may study in</w:t>
      </w:r>
      <w:r w:rsidR="000E73A7">
        <w:rPr>
          <w:rFonts w:ascii="Arial" w:hAnsi="Arial" w:cs="Tahoma"/>
          <w:sz w:val="22"/>
          <w:szCs w:val="22"/>
        </w:rPr>
        <w:t>-</w:t>
      </w:r>
      <w:r w:rsidR="00D32A24" w:rsidRPr="00720EBF">
        <w:rPr>
          <w:rFonts w:ascii="Arial" w:hAnsi="Arial" w:cs="Tahoma"/>
          <w:sz w:val="22"/>
          <w:szCs w:val="22"/>
        </w:rPr>
        <w:t>service teachers</w:t>
      </w:r>
      <w:r w:rsidR="00413282">
        <w:rPr>
          <w:rFonts w:ascii="Arial" w:hAnsi="Arial" w:cs="Tahoma"/>
          <w:sz w:val="22"/>
          <w:szCs w:val="22"/>
        </w:rPr>
        <w:t>’</w:t>
      </w:r>
      <w:r w:rsidR="00D32A24" w:rsidRPr="00720EBF">
        <w:rPr>
          <w:rFonts w:ascii="Arial" w:hAnsi="Arial" w:cs="Tahoma"/>
          <w:sz w:val="22"/>
          <w:szCs w:val="22"/>
        </w:rPr>
        <w:t xml:space="preserve"> meanings and representations of ratio. We </w:t>
      </w:r>
      <w:r w:rsidR="00653031">
        <w:rPr>
          <w:rFonts w:ascii="Arial" w:hAnsi="Arial" w:cs="Tahoma"/>
          <w:sz w:val="22"/>
          <w:szCs w:val="22"/>
        </w:rPr>
        <w:t>have already</w:t>
      </w:r>
      <w:r w:rsidR="00A420BD" w:rsidRPr="00720EBF">
        <w:rPr>
          <w:rFonts w:ascii="Arial" w:hAnsi="Arial" w:cs="Tahoma"/>
          <w:sz w:val="22"/>
          <w:szCs w:val="22"/>
        </w:rPr>
        <w:t xml:space="preserve"> recruit</w:t>
      </w:r>
      <w:r w:rsidR="00653031">
        <w:rPr>
          <w:rFonts w:ascii="Arial" w:hAnsi="Arial" w:cs="Tahoma"/>
          <w:sz w:val="22"/>
          <w:szCs w:val="22"/>
        </w:rPr>
        <w:t>ed</w:t>
      </w:r>
      <w:r w:rsidR="00A420BD" w:rsidRPr="00720EBF">
        <w:rPr>
          <w:rFonts w:ascii="Arial" w:hAnsi="Arial" w:cs="Tahoma"/>
          <w:sz w:val="22"/>
          <w:szCs w:val="22"/>
        </w:rPr>
        <w:t xml:space="preserve"> researchers from other countries to participate in </w:t>
      </w:r>
      <w:r w:rsidR="00413282">
        <w:rPr>
          <w:rFonts w:ascii="Arial" w:hAnsi="Arial" w:cs="Tahoma"/>
          <w:sz w:val="22"/>
          <w:szCs w:val="22"/>
        </w:rPr>
        <w:t>our</w:t>
      </w:r>
      <w:r w:rsidR="00A420BD" w:rsidRPr="00720EBF">
        <w:rPr>
          <w:rFonts w:ascii="Arial" w:hAnsi="Arial" w:cs="Tahoma"/>
          <w:sz w:val="22"/>
          <w:szCs w:val="22"/>
        </w:rPr>
        <w:t xml:space="preserve"> next investigation</w:t>
      </w:r>
      <w:r w:rsidR="00D32A24" w:rsidRPr="00720EBF">
        <w:rPr>
          <w:rFonts w:ascii="Arial" w:hAnsi="Arial" w:cs="Tahoma"/>
          <w:sz w:val="22"/>
          <w:szCs w:val="22"/>
        </w:rPr>
        <w:t xml:space="preserve"> </w:t>
      </w:r>
      <w:r w:rsidR="00D86F3A">
        <w:rPr>
          <w:rFonts w:ascii="Arial" w:hAnsi="Arial" w:cs="Tahoma"/>
          <w:sz w:val="22"/>
          <w:szCs w:val="22"/>
        </w:rPr>
        <w:t>with a view to presenting</w:t>
      </w:r>
      <w:r w:rsidR="00653031">
        <w:rPr>
          <w:rFonts w:ascii="Arial" w:hAnsi="Arial" w:cs="Tahoma"/>
          <w:sz w:val="22"/>
          <w:szCs w:val="22"/>
        </w:rPr>
        <w:t xml:space="preserve"> their work </w:t>
      </w:r>
      <w:r w:rsidR="00D32A24" w:rsidRPr="00720EBF">
        <w:rPr>
          <w:rFonts w:ascii="Arial" w:hAnsi="Arial" w:cs="Tahoma"/>
          <w:sz w:val="22"/>
          <w:szCs w:val="22"/>
        </w:rPr>
        <w:t>at the annual meeting of ATEE in 2013</w:t>
      </w:r>
      <w:r w:rsidR="00A420BD" w:rsidRPr="00720EBF">
        <w:rPr>
          <w:rFonts w:ascii="Arial" w:hAnsi="Arial" w:cs="Tahoma"/>
          <w:sz w:val="22"/>
          <w:szCs w:val="22"/>
        </w:rPr>
        <w:t>.</w:t>
      </w:r>
    </w:p>
    <w:p w:rsidR="00A55FB7" w:rsidRPr="00720EBF" w:rsidRDefault="00A55FB7" w:rsidP="00176F30">
      <w:pPr>
        <w:widowControl w:val="0"/>
        <w:autoSpaceDE w:val="0"/>
        <w:autoSpaceDN w:val="0"/>
        <w:adjustRightInd w:val="0"/>
        <w:spacing w:line="360" w:lineRule="auto"/>
        <w:jc w:val="both"/>
        <w:rPr>
          <w:rFonts w:ascii="Arial" w:hAnsi="Arial" w:cs="Tahoma"/>
          <w:sz w:val="22"/>
          <w:szCs w:val="22"/>
        </w:rPr>
      </w:pPr>
    </w:p>
    <w:p w:rsidR="00EC7F63" w:rsidRPr="00720EBF" w:rsidRDefault="00EC7F63" w:rsidP="002623BC">
      <w:pPr>
        <w:spacing w:line="360" w:lineRule="auto"/>
        <w:jc w:val="both"/>
        <w:rPr>
          <w:rFonts w:ascii="Arial" w:hAnsi="Arial"/>
          <w:sz w:val="22"/>
        </w:rPr>
      </w:pPr>
      <w:bookmarkStart w:id="0" w:name="_GoBack"/>
      <w:bookmarkEnd w:id="0"/>
      <w:r w:rsidRPr="00720EBF">
        <w:rPr>
          <w:rFonts w:ascii="Arial" w:hAnsi="Arial"/>
          <w:b/>
          <w:sz w:val="22"/>
        </w:rPr>
        <w:t>References</w:t>
      </w:r>
    </w:p>
    <w:p w:rsidR="00C22AB0" w:rsidRPr="00720EBF" w:rsidRDefault="00C22AB0" w:rsidP="00DD7F4F">
      <w:pPr>
        <w:keepLines/>
        <w:spacing w:after="120" w:line="360" w:lineRule="auto"/>
        <w:ind w:left="567" w:hanging="567"/>
        <w:jc w:val="both"/>
        <w:rPr>
          <w:rFonts w:ascii="Arial" w:hAnsi="Arial"/>
          <w:color w:val="000000"/>
          <w:sz w:val="22"/>
        </w:rPr>
      </w:pPr>
      <w:r w:rsidRPr="00720EBF">
        <w:rPr>
          <w:rFonts w:ascii="Arial" w:hAnsi="Arial"/>
          <w:color w:val="000000"/>
          <w:sz w:val="22"/>
        </w:rPr>
        <w:t xml:space="preserve">Arcavi, A. 2003. The role of visual representations in the learning of mathematics. </w:t>
      </w:r>
      <w:r w:rsidRPr="00720EBF">
        <w:rPr>
          <w:rFonts w:ascii="Arial" w:hAnsi="Arial"/>
          <w:i/>
          <w:color w:val="000000"/>
          <w:sz w:val="22"/>
        </w:rPr>
        <w:t xml:space="preserve">Educational Studies in Mathematics, </w:t>
      </w:r>
      <w:r w:rsidRPr="00720EBF">
        <w:rPr>
          <w:rFonts w:ascii="Arial" w:hAnsi="Arial"/>
          <w:color w:val="000000"/>
          <w:sz w:val="22"/>
        </w:rPr>
        <w:t>no. 52(3): 215-241.</w:t>
      </w:r>
    </w:p>
    <w:p w:rsidR="00C22AB0" w:rsidRPr="00720EBF" w:rsidRDefault="00C22AB0" w:rsidP="00DD7F4F">
      <w:pPr>
        <w:keepLines/>
        <w:spacing w:after="120" w:line="360" w:lineRule="auto"/>
        <w:ind w:left="567" w:hanging="567"/>
        <w:jc w:val="both"/>
        <w:rPr>
          <w:rFonts w:ascii="Arial" w:hAnsi="Arial"/>
          <w:color w:val="000000"/>
          <w:sz w:val="22"/>
        </w:rPr>
      </w:pPr>
      <w:r w:rsidRPr="00720EBF">
        <w:rPr>
          <w:rFonts w:ascii="Arial" w:hAnsi="Arial"/>
          <w:color w:val="000000"/>
          <w:sz w:val="22"/>
        </w:rPr>
        <w:t xml:space="preserve">Ball, D.L., Lubienski, S., and Mewborn, D.S. 2001. Research on teaching mathematics: The unsolved problem of teaching mathematics knowledge. </w:t>
      </w:r>
      <w:r w:rsidR="00D466E4" w:rsidRPr="00720EBF">
        <w:rPr>
          <w:rFonts w:ascii="Arial" w:hAnsi="Arial"/>
          <w:color w:val="000000"/>
          <w:sz w:val="22"/>
        </w:rPr>
        <w:t xml:space="preserve">In </w:t>
      </w:r>
      <w:r w:rsidR="00D466E4" w:rsidRPr="00720EBF">
        <w:rPr>
          <w:rFonts w:ascii="Arial" w:hAnsi="Arial"/>
          <w:i/>
          <w:color w:val="000000"/>
          <w:sz w:val="22"/>
        </w:rPr>
        <w:t>Handbook of Research on Teaching</w:t>
      </w:r>
      <w:r w:rsidR="00D466E4" w:rsidRPr="00720EBF">
        <w:rPr>
          <w:rFonts w:ascii="Arial" w:hAnsi="Arial"/>
          <w:color w:val="000000"/>
          <w:sz w:val="22"/>
        </w:rPr>
        <w:t xml:space="preserve"> (4</w:t>
      </w:r>
      <w:r w:rsidR="00D466E4" w:rsidRPr="00720EBF">
        <w:rPr>
          <w:rFonts w:ascii="Arial" w:hAnsi="Arial"/>
          <w:color w:val="000000"/>
          <w:sz w:val="22"/>
          <w:vertAlign w:val="superscript"/>
        </w:rPr>
        <w:t>th</w:t>
      </w:r>
      <w:r w:rsidR="00D466E4" w:rsidRPr="00720EBF">
        <w:rPr>
          <w:rFonts w:ascii="Arial" w:hAnsi="Arial"/>
          <w:color w:val="000000"/>
          <w:sz w:val="22"/>
        </w:rPr>
        <w:t xml:space="preserve"> ed.), ed. V. Richardson, </w:t>
      </w:r>
      <w:r w:rsidR="00D466E4" w:rsidRPr="00720EBF">
        <w:rPr>
          <w:rFonts w:ascii="Arial" w:hAnsi="Arial"/>
          <w:sz w:val="22"/>
        </w:rPr>
        <w:t>433-456</w:t>
      </w:r>
      <w:r w:rsidR="00D466E4" w:rsidRPr="00720EBF">
        <w:rPr>
          <w:rFonts w:ascii="Arial" w:hAnsi="Arial"/>
          <w:color w:val="000000"/>
          <w:sz w:val="22"/>
        </w:rPr>
        <w:t>. NY: Macmillan.</w:t>
      </w:r>
    </w:p>
    <w:p w:rsidR="00C22AB0" w:rsidRPr="00720EBF" w:rsidRDefault="00C22AB0" w:rsidP="00DD7F4F">
      <w:pPr>
        <w:keepLines/>
        <w:spacing w:after="120" w:line="360" w:lineRule="auto"/>
        <w:ind w:left="567" w:hanging="567"/>
        <w:jc w:val="both"/>
        <w:rPr>
          <w:rFonts w:ascii="Arial" w:hAnsi="Arial"/>
          <w:color w:val="000000"/>
          <w:sz w:val="22"/>
        </w:rPr>
      </w:pPr>
      <w:r w:rsidRPr="00720EBF">
        <w:rPr>
          <w:rFonts w:ascii="Arial" w:hAnsi="Arial"/>
          <w:color w:val="000000"/>
          <w:sz w:val="22"/>
        </w:rPr>
        <w:t xml:space="preserve">Berenson, S., van der Valk, T., Oldham, E., Runesson, U., Moreira, C., and Broekman, H. 1997. An international study to investigate prospective teachers’ content knowledge of the area concept. </w:t>
      </w:r>
      <w:r w:rsidRPr="00720EBF">
        <w:rPr>
          <w:rFonts w:ascii="Arial" w:hAnsi="Arial"/>
          <w:i/>
          <w:color w:val="000000"/>
          <w:sz w:val="22"/>
        </w:rPr>
        <w:t xml:space="preserve">European Journal of Teacher Education, </w:t>
      </w:r>
      <w:r w:rsidRPr="00720EBF">
        <w:rPr>
          <w:rFonts w:ascii="Arial" w:hAnsi="Arial"/>
          <w:color w:val="000000"/>
          <w:sz w:val="22"/>
        </w:rPr>
        <w:t>no. 20: 137-150.</w:t>
      </w:r>
    </w:p>
    <w:p w:rsidR="00C22AB0" w:rsidRPr="00720EBF" w:rsidRDefault="00C22AB0" w:rsidP="00DD7F4F">
      <w:pPr>
        <w:spacing w:after="120" w:line="360" w:lineRule="auto"/>
        <w:ind w:left="567" w:hanging="567"/>
        <w:jc w:val="both"/>
        <w:rPr>
          <w:rFonts w:ascii="Arial" w:hAnsi="Arial" w:cs="Times New Roman"/>
          <w:sz w:val="22"/>
        </w:rPr>
      </w:pPr>
      <w:r w:rsidRPr="00720EBF">
        <w:rPr>
          <w:rFonts w:ascii="Arial" w:hAnsi="Arial" w:cs="Times New Roman"/>
          <w:sz w:val="22"/>
        </w:rPr>
        <w:t>Birks, M. 2011.</w:t>
      </w:r>
      <w:r w:rsidRPr="00720EBF">
        <w:rPr>
          <w:rFonts w:ascii="Arial" w:hAnsi="Arial" w:cs="Times New Roman"/>
          <w:sz w:val="22"/>
          <w:lang w:eastAsia="pt-PT"/>
        </w:rPr>
        <w:t xml:space="preserve"> </w:t>
      </w:r>
      <w:r w:rsidRPr="00720EBF">
        <w:rPr>
          <w:rFonts w:ascii="Arial" w:hAnsi="Arial" w:cs="Times New Roman"/>
          <w:i/>
          <w:sz w:val="22"/>
          <w:lang w:eastAsia="pt-PT"/>
        </w:rPr>
        <w:t>G</w:t>
      </w:r>
      <w:r w:rsidRPr="00720EBF">
        <w:rPr>
          <w:rFonts w:ascii="Arial" w:hAnsi="Arial" w:cs="Times New Roman"/>
          <w:i/>
          <w:sz w:val="22"/>
        </w:rPr>
        <w:t>rounded theory: A practical guide.</w:t>
      </w:r>
      <w:r w:rsidRPr="00720EBF">
        <w:rPr>
          <w:rFonts w:ascii="Arial" w:hAnsi="Arial" w:cs="Times New Roman"/>
          <w:sz w:val="22"/>
        </w:rPr>
        <w:t xml:space="preserve"> Los Angeles: Sage.</w:t>
      </w:r>
    </w:p>
    <w:p w:rsidR="00C22AB0" w:rsidRPr="00720EBF" w:rsidRDefault="00C22AB0" w:rsidP="00DD7F4F">
      <w:pPr>
        <w:keepLines/>
        <w:spacing w:after="120" w:line="360" w:lineRule="auto"/>
        <w:ind w:left="567" w:hanging="567"/>
        <w:jc w:val="both"/>
        <w:rPr>
          <w:rFonts w:ascii="Arial" w:hAnsi="Arial"/>
          <w:color w:val="000000"/>
          <w:sz w:val="22"/>
        </w:rPr>
      </w:pPr>
      <w:r w:rsidRPr="00720EBF">
        <w:rPr>
          <w:rFonts w:ascii="Arial" w:hAnsi="Arial"/>
          <w:color w:val="000000"/>
          <w:sz w:val="22"/>
        </w:rPr>
        <w:t xml:space="preserve">Clark, M.R., Berenson, S.B., and Cavey, L.O. 2003. A comparison of ratios and fractions and their roles as tools in proportional reasoning. </w:t>
      </w:r>
      <w:r w:rsidRPr="00720EBF">
        <w:rPr>
          <w:rFonts w:ascii="Arial" w:hAnsi="Arial"/>
          <w:i/>
          <w:color w:val="000000"/>
          <w:sz w:val="22"/>
        </w:rPr>
        <w:t>Journal of Mathematical Behavior</w:t>
      </w:r>
      <w:r w:rsidRPr="00720EBF">
        <w:rPr>
          <w:rFonts w:ascii="Arial" w:hAnsi="Arial"/>
          <w:color w:val="000000"/>
          <w:sz w:val="22"/>
        </w:rPr>
        <w:t xml:space="preserve">, no. </w:t>
      </w:r>
      <w:r w:rsidRPr="00662A56">
        <w:rPr>
          <w:rFonts w:ascii="Arial" w:hAnsi="Arial"/>
          <w:color w:val="000000"/>
          <w:sz w:val="22"/>
        </w:rPr>
        <w:t>22</w:t>
      </w:r>
      <w:r w:rsidRPr="00720EBF">
        <w:rPr>
          <w:rFonts w:ascii="Arial" w:hAnsi="Arial"/>
          <w:color w:val="000000"/>
          <w:sz w:val="22"/>
        </w:rPr>
        <w:t>: 29-317.</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6" w:hanging="567"/>
        <w:jc w:val="both"/>
        <w:rPr>
          <w:rFonts w:ascii="Arial" w:hAnsi="Arial"/>
          <w:sz w:val="22"/>
        </w:rPr>
      </w:pPr>
      <w:r w:rsidRPr="00720EBF">
        <w:rPr>
          <w:rFonts w:ascii="Arial" w:hAnsi="Arial"/>
          <w:sz w:val="22"/>
        </w:rPr>
        <w:t xml:space="preserve">Crowley, L., and Tall, D. 2006. Two students:  why does one succeed and the other fail? In </w:t>
      </w:r>
      <w:r w:rsidRPr="00720EBF">
        <w:rPr>
          <w:rFonts w:ascii="Arial" w:hAnsi="Arial"/>
          <w:i/>
          <w:iCs/>
          <w:sz w:val="22"/>
        </w:rPr>
        <w:t xml:space="preserve">Retirement as Process and Concept:  a Festschrift for Eddie Gray and David Tall, ed. </w:t>
      </w:r>
      <w:r w:rsidRPr="00720EBF">
        <w:rPr>
          <w:rFonts w:ascii="Arial" w:hAnsi="Arial"/>
          <w:sz w:val="22"/>
        </w:rPr>
        <w:t>A. Simpson, 57-65. Durham: School of Education, University of Durham.</w:t>
      </w:r>
    </w:p>
    <w:p w:rsidR="00C22AB0" w:rsidRDefault="00C22AB0" w:rsidP="00DD7F4F">
      <w:pPr>
        <w:spacing w:after="120" w:line="360" w:lineRule="auto"/>
        <w:ind w:left="567" w:hanging="567"/>
        <w:jc w:val="both"/>
        <w:rPr>
          <w:rFonts w:ascii="Arial" w:hAnsi="Arial"/>
          <w:color w:val="000000"/>
          <w:sz w:val="22"/>
        </w:rPr>
      </w:pPr>
      <w:r w:rsidRPr="00720EBF">
        <w:rPr>
          <w:rFonts w:ascii="Arial" w:hAnsi="Arial"/>
          <w:sz w:val="22"/>
        </w:rPr>
        <w:t xml:space="preserve">Darling-Hammond, L. 2000. Teacher quality and student achievement. </w:t>
      </w:r>
      <w:r w:rsidRPr="00720EBF">
        <w:rPr>
          <w:rFonts w:ascii="Arial" w:hAnsi="Arial"/>
          <w:i/>
          <w:sz w:val="22"/>
        </w:rPr>
        <w:t>Education Policy Analysis</w:t>
      </w:r>
      <w:r w:rsidRPr="00720EBF">
        <w:rPr>
          <w:rFonts w:ascii="Arial" w:hAnsi="Arial"/>
          <w:sz w:val="22"/>
        </w:rPr>
        <w:t>, no.</w:t>
      </w:r>
      <w:r w:rsidR="00D32A24" w:rsidRPr="00720EBF">
        <w:rPr>
          <w:rFonts w:ascii="Arial" w:hAnsi="Arial"/>
          <w:sz w:val="22"/>
        </w:rPr>
        <w:t xml:space="preserve"> </w:t>
      </w:r>
      <w:r w:rsidRPr="00720EBF">
        <w:rPr>
          <w:rFonts w:ascii="Arial" w:hAnsi="Arial"/>
          <w:sz w:val="22"/>
        </w:rPr>
        <w:t>8(1)</w:t>
      </w:r>
      <w:r w:rsidRPr="00720EBF">
        <w:rPr>
          <w:rFonts w:ascii="Arial" w:hAnsi="Arial"/>
          <w:color w:val="000000"/>
          <w:sz w:val="22"/>
        </w:rPr>
        <w:t>.</w:t>
      </w:r>
      <w:r w:rsidR="00576A34">
        <w:rPr>
          <w:rFonts w:ascii="Arial" w:hAnsi="Arial"/>
          <w:color w:val="000000"/>
          <w:sz w:val="22"/>
        </w:rPr>
        <w:t xml:space="preserve"> </w:t>
      </w:r>
      <w:r w:rsidR="00576A34" w:rsidRPr="00576A34">
        <w:rPr>
          <w:rFonts w:ascii="Arial" w:hAnsi="Arial" w:cs="Arial"/>
          <w:sz w:val="22"/>
          <w:szCs w:val="22"/>
        </w:rPr>
        <w:t xml:space="preserve">Retrieved from </w:t>
      </w:r>
      <w:r w:rsidR="00177266">
        <w:fldChar w:fldCharType="begin"/>
      </w:r>
      <w:r w:rsidR="008007C3">
        <w:instrText>HYPERLINK "https://go.tcd.ie/owa/redir.aspx?C=ad0569b3b33c484283a5a821c4613d5d&amp;URL=http%3a%2f%2fepaa.asu.edu%2fojs%2farticle%2fview%2f392" \t "_blank"</w:instrText>
      </w:r>
      <w:r w:rsidR="00177266">
        <w:fldChar w:fldCharType="separate"/>
      </w:r>
      <w:r w:rsidR="00576A34" w:rsidRPr="00576A34">
        <w:rPr>
          <w:rStyle w:val="Hyperlink"/>
          <w:rFonts w:ascii="Arial" w:hAnsi="Arial" w:cs="Arial"/>
          <w:sz w:val="22"/>
          <w:szCs w:val="22"/>
        </w:rPr>
        <w:t>http://epaa.asu.edu/ojs/article/view/392</w:t>
      </w:r>
      <w:r w:rsidR="00177266">
        <w:fldChar w:fldCharType="end"/>
      </w:r>
      <w:r w:rsidR="00576A34">
        <w:rPr>
          <w:rFonts w:ascii="Arial" w:hAnsi="Arial" w:cs="Arial"/>
          <w:sz w:val="22"/>
          <w:szCs w:val="22"/>
        </w:rPr>
        <w:t>.</w:t>
      </w:r>
    </w:p>
    <w:p w:rsidR="00C22AB0" w:rsidRPr="00720EBF" w:rsidRDefault="00C22AB0" w:rsidP="00DD7F4F">
      <w:pPr>
        <w:spacing w:after="120" w:line="360" w:lineRule="auto"/>
        <w:ind w:left="567" w:hanging="567"/>
        <w:jc w:val="both"/>
        <w:rPr>
          <w:rFonts w:ascii="Arial" w:hAnsi="Arial"/>
          <w:sz w:val="22"/>
        </w:rPr>
      </w:pPr>
      <w:r w:rsidRPr="00720EBF">
        <w:rPr>
          <w:rFonts w:ascii="Arial" w:hAnsi="Arial"/>
          <w:sz w:val="22"/>
        </w:rPr>
        <w:t xml:space="preserve">Frederik, I., van der Valk, T., Leite, L., and Thoren, I. 1999. Pre-service teachers and conceptual difficulties on temperature and heat.  </w:t>
      </w:r>
      <w:r w:rsidRPr="00720EBF">
        <w:rPr>
          <w:rFonts w:ascii="Arial" w:hAnsi="Arial"/>
          <w:i/>
          <w:sz w:val="22"/>
        </w:rPr>
        <w:t>European Journal of Teacher Education</w:t>
      </w:r>
      <w:r w:rsidRPr="00720EBF">
        <w:rPr>
          <w:rFonts w:ascii="Arial" w:hAnsi="Arial"/>
          <w:sz w:val="22"/>
        </w:rPr>
        <w:t>, no. 22(1): 61-74.</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6" w:hanging="567"/>
        <w:jc w:val="both"/>
        <w:rPr>
          <w:rFonts w:ascii="Arial" w:hAnsi="Arial"/>
          <w:sz w:val="22"/>
          <w:lang w:val="en-GB"/>
        </w:rPr>
      </w:pPr>
      <w:r w:rsidRPr="00720EBF">
        <w:rPr>
          <w:rFonts w:ascii="Arial" w:hAnsi="Arial"/>
          <w:sz w:val="22"/>
          <w:lang w:val="en-GB"/>
        </w:rPr>
        <w:t xml:space="preserve">Hiebert, J. (ed.), 1986. </w:t>
      </w:r>
      <w:r w:rsidRPr="00720EBF">
        <w:rPr>
          <w:rFonts w:ascii="Arial" w:hAnsi="Arial"/>
          <w:i/>
          <w:iCs/>
          <w:sz w:val="22"/>
          <w:lang w:val="en-GB"/>
        </w:rPr>
        <w:t>Conceptual and Procedural Knowledge: the Case of Mathematics</w:t>
      </w:r>
      <w:r w:rsidRPr="00720EBF">
        <w:rPr>
          <w:rFonts w:ascii="Arial" w:hAnsi="Arial"/>
          <w:sz w:val="22"/>
          <w:lang w:val="en-GB"/>
        </w:rPr>
        <w:t>. Hillsdale, NJ: Erlbaum.</w:t>
      </w:r>
    </w:p>
    <w:p w:rsidR="00A420BD"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5" w:hanging="567"/>
        <w:jc w:val="both"/>
        <w:rPr>
          <w:rFonts w:ascii="Arial" w:hAnsi="Arial"/>
          <w:sz w:val="22"/>
          <w:lang w:val="en-GB"/>
        </w:rPr>
      </w:pPr>
      <w:r w:rsidRPr="00720EBF">
        <w:rPr>
          <w:rFonts w:ascii="Arial" w:hAnsi="Arial"/>
          <w:sz w:val="22"/>
          <w:lang w:val="en-GB"/>
        </w:rPr>
        <w:t>Hiebert, J., and Grouws,</w:t>
      </w:r>
      <w:r w:rsidR="00576A34">
        <w:rPr>
          <w:rFonts w:ascii="Arial" w:hAnsi="Arial"/>
          <w:sz w:val="22"/>
          <w:lang w:val="en-GB"/>
        </w:rPr>
        <w:t xml:space="preserve"> </w:t>
      </w:r>
      <w:r w:rsidRPr="00720EBF">
        <w:rPr>
          <w:rFonts w:ascii="Arial" w:hAnsi="Arial"/>
          <w:sz w:val="22"/>
          <w:lang w:val="en-GB"/>
        </w:rPr>
        <w:t xml:space="preserve">D. 2007. The effects of classroom mathematics teaching on students’ learning. In </w:t>
      </w:r>
      <w:r w:rsidRPr="00720EBF">
        <w:rPr>
          <w:rFonts w:ascii="Arial" w:hAnsi="Arial"/>
          <w:i/>
          <w:iCs/>
          <w:sz w:val="22"/>
          <w:lang w:val="en-GB"/>
        </w:rPr>
        <w:t>Second Handbook of Research on Mathematics Teaching and Learning</w:t>
      </w:r>
      <w:r w:rsidRPr="00720EBF">
        <w:rPr>
          <w:rFonts w:ascii="Arial" w:hAnsi="Arial"/>
          <w:iCs/>
          <w:sz w:val="22"/>
          <w:lang w:val="en-GB"/>
        </w:rPr>
        <w:t>, ed.</w:t>
      </w:r>
      <w:r w:rsidR="00334B7A">
        <w:rPr>
          <w:rFonts w:ascii="Arial" w:hAnsi="Arial"/>
          <w:sz w:val="22"/>
          <w:lang w:val="en-GB"/>
        </w:rPr>
        <w:t xml:space="preserve"> F.</w:t>
      </w:r>
      <w:r w:rsidRPr="00720EBF">
        <w:rPr>
          <w:rFonts w:ascii="Arial" w:hAnsi="Arial"/>
          <w:sz w:val="22"/>
          <w:lang w:val="en-GB"/>
        </w:rPr>
        <w:t>K. Lester, 371-404. Charlotte, NC: Information Age Publishing.</w:t>
      </w:r>
    </w:p>
    <w:p w:rsidR="00C22AB0" w:rsidRPr="00720EBF" w:rsidRDefault="00A420BD"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hanging="567"/>
        <w:jc w:val="both"/>
        <w:rPr>
          <w:rFonts w:ascii="Arial" w:hAnsi="Arial"/>
          <w:sz w:val="22"/>
          <w:lang w:val="en-GB"/>
        </w:rPr>
      </w:pPr>
      <w:r w:rsidRPr="00720EBF">
        <w:rPr>
          <w:rFonts w:ascii="Arial" w:hAnsi="Arial"/>
          <w:sz w:val="22"/>
          <w:lang w:val="en-GB"/>
        </w:rPr>
        <w:t xml:space="preserve">Hogan, T., </w:t>
      </w:r>
      <w:r w:rsidR="000D6DB7">
        <w:rPr>
          <w:rFonts w:ascii="Arial" w:hAnsi="Arial"/>
          <w:sz w:val="22"/>
          <w:lang w:val="en-GB"/>
        </w:rPr>
        <w:t>Rabinowitz, M., &amp; Craven, J.A. 2003</w:t>
      </w:r>
      <w:r w:rsidRPr="00720EBF">
        <w:rPr>
          <w:rFonts w:ascii="Arial" w:hAnsi="Arial"/>
          <w:sz w:val="22"/>
          <w:lang w:val="en-GB"/>
        </w:rPr>
        <w:t xml:space="preserve">. Representation in teaching: Inferences from research of expert and novice teachers. </w:t>
      </w:r>
      <w:r w:rsidR="00D32A24" w:rsidRPr="00720EBF">
        <w:rPr>
          <w:rFonts w:ascii="Arial" w:hAnsi="Arial"/>
          <w:i/>
          <w:sz w:val="22"/>
          <w:lang w:val="en-GB"/>
        </w:rPr>
        <w:t>Educational Psychologist,</w:t>
      </w:r>
      <w:r w:rsidRPr="00720EBF">
        <w:rPr>
          <w:rFonts w:ascii="Arial" w:hAnsi="Arial"/>
          <w:i/>
          <w:sz w:val="22"/>
          <w:lang w:val="en-GB"/>
        </w:rPr>
        <w:t xml:space="preserve"> </w:t>
      </w:r>
      <w:r w:rsidR="00D32A24" w:rsidRPr="00720EBF">
        <w:rPr>
          <w:rFonts w:ascii="Arial" w:hAnsi="Arial"/>
          <w:sz w:val="22"/>
          <w:lang w:val="en-GB"/>
        </w:rPr>
        <w:t xml:space="preserve">no. </w:t>
      </w:r>
      <w:r w:rsidRPr="00720EBF">
        <w:rPr>
          <w:rFonts w:ascii="Arial" w:hAnsi="Arial"/>
          <w:sz w:val="22"/>
          <w:lang w:val="en-GB"/>
        </w:rPr>
        <w:t>38</w:t>
      </w:r>
      <w:r w:rsidR="00D32A24" w:rsidRPr="00720EBF">
        <w:rPr>
          <w:rFonts w:ascii="Arial" w:hAnsi="Arial"/>
          <w:sz w:val="22"/>
          <w:lang w:val="en-GB"/>
        </w:rPr>
        <w:t xml:space="preserve">(4): </w:t>
      </w:r>
      <w:r w:rsidRPr="00720EBF">
        <w:rPr>
          <w:rFonts w:ascii="Arial" w:hAnsi="Arial"/>
          <w:sz w:val="22"/>
          <w:lang w:val="en-GB"/>
        </w:rPr>
        <w:t>235-</w:t>
      </w:r>
      <w:r w:rsidR="00D32A24" w:rsidRPr="00720EBF">
        <w:rPr>
          <w:rFonts w:ascii="Arial" w:hAnsi="Arial"/>
          <w:sz w:val="22"/>
          <w:lang w:val="en-GB"/>
        </w:rPr>
        <w:t>247.</w:t>
      </w:r>
    </w:p>
    <w:p w:rsidR="00C22AB0" w:rsidRPr="00720EBF" w:rsidRDefault="0075470C" w:rsidP="00DD7F4F">
      <w:pPr>
        <w:spacing w:after="120" w:line="360" w:lineRule="auto"/>
        <w:ind w:left="567" w:hanging="567"/>
        <w:jc w:val="both"/>
        <w:rPr>
          <w:rFonts w:ascii="Arial" w:hAnsi="Arial"/>
          <w:i/>
          <w:sz w:val="22"/>
        </w:rPr>
      </w:pPr>
      <w:r>
        <w:rPr>
          <w:rFonts w:ascii="Arial" w:hAnsi="Arial"/>
          <w:sz w:val="22"/>
        </w:rPr>
        <w:t>Hill, H.C., and Ball, D.</w:t>
      </w:r>
      <w:r w:rsidR="00C22AB0" w:rsidRPr="00720EBF">
        <w:rPr>
          <w:rFonts w:ascii="Arial" w:hAnsi="Arial"/>
          <w:sz w:val="22"/>
        </w:rPr>
        <w:t>L. 2004. Learning mathematic</w:t>
      </w:r>
      <w:r w:rsidR="00576A34">
        <w:rPr>
          <w:rFonts w:ascii="Arial" w:hAnsi="Arial"/>
          <w:sz w:val="22"/>
        </w:rPr>
        <w:t>s</w:t>
      </w:r>
      <w:r w:rsidR="00C22AB0" w:rsidRPr="00720EBF">
        <w:rPr>
          <w:rFonts w:ascii="Arial" w:hAnsi="Arial"/>
          <w:sz w:val="22"/>
        </w:rPr>
        <w:t xml:space="preserve"> for teaching: Results from California’s mathematics professional development institutes. </w:t>
      </w:r>
      <w:r w:rsidR="00C22AB0" w:rsidRPr="00720EBF">
        <w:rPr>
          <w:rFonts w:ascii="Arial" w:hAnsi="Arial"/>
          <w:i/>
          <w:sz w:val="22"/>
        </w:rPr>
        <w:t xml:space="preserve">Journal for Research in Mathematics Education, </w:t>
      </w:r>
      <w:r w:rsidR="00C22AB0" w:rsidRPr="00720EBF">
        <w:rPr>
          <w:rFonts w:ascii="Arial" w:hAnsi="Arial"/>
          <w:sz w:val="22"/>
        </w:rPr>
        <w:t>no. 35(5): 330-351.</w:t>
      </w:r>
    </w:p>
    <w:p w:rsidR="00C22AB0" w:rsidRPr="00720EBF" w:rsidRDefault="00C22AB0" w:rsidP="00DD7F4F">
      <w:pPr>
        <w:spacing w:after="120" w:line="360" w:lineRule="auto"/>
        <w:ind w:left="567" w:hanging="567"/>
        <w:jc w:val="both"/>
        <w:rPr>
          <w:rFonts w:ascii="Arial" w:hAnsi="Arial"/>
          <w:sz w:val="22"/>
        </w:rPr>
      </w:pPr>
      <w:r w:rsidRPr="00720EBF">
        <w:rPr>
          <w:rFonts w:ascii="Arial" w:hAnsi="Arial"/>
          <w:sz w:val="22"/>
        </w:rPr>
        <w:t xml:space="preserve">Janvier, C. (ed.), 1987. </w:t>
      </w:r>
      <w:r w:rsidRPr="00720EBF">
        <w:rPr>
          <w:rFonts w:ascii="Arial" w:hAnsi="Arial"/>
          <w:i/>
          <w:sz w:val="22"/>
        </w:rPr>
        <w:t>Problems of representation in the teaching and learning of mathematics.</w:t>
      </w:r>
      <w:r w:rsidRPr="00720EBF">
        <w:rPr>
          <w:rFonts w:ascii="Arial" w:hAnsi="Arial"/>
          <w:sz w:val="22"/>
        </w:rPr>
        <w:t xml:space="preserve"> London: Lawrence Erlbaum.</w:t>
      </w:r>
    </w:p>
    <w:p w:rsidR="00C22AB0" w:rsidRPr="00720EBF" w:rsidRDefault="0075470C" w:rsidP="00DD7F4F">
      <w:pPr>
        <w:spacing w:after="120" w:line="360" w:lineRule="auto"/>
        <w:ind w:left="567" w:hanging="567"/>
        <w:jc w:val="both"/>
        <w:rPr>
          <w:rFonts w:ascii="Arial" w:hAnsi="Arial"/>
          <w:sz w:val="22"/>
        </w:rPr>
      </w:pPr>
      <w:r>
        <w:rPr>
          <w:rFonts w:ascii="Arial" w:hAnsi="Arial"/>
          <w:sz w:val="22"/>
        </w:rPr>
        <w:t>Lamon, S.</w:t>
      </w:r>
      <w:r w:rsidR="00C22AB0" w:rsidRPr="00720EBF">
        <w:rPr>
          <w:rFonts w:ascii="Arial" w:hAnsi="Arial"/>
          <w:sz w:val="22"/>
        </w:rPr>
        <w:t xml:space="preserve">J. 2007. Rational numbers and proportional reasoning: Towards a theoretical framework. In </w:t>
      </w:r>
      <w:r w:rsidR="00C22AB0" w:rsidRPr="00720EBF">
        <w:rPr>
          <w:rFonts w:ascii="Arial" w:hAnsi="Arial"/>
          <w:i/>
          <w:sz w:val="22"/>
        </w:rPr>
        <w:t>Second Handbook of Research on Mathematics Teaching and Learning</w:t>
      </w:r>
      <w:r w:rsidR="00C22AB0" w:rsidRPr="00720EBF">
        <w:rPr>
          <w:rFonts w:ascii="Arial" w:hAnsi="Arial"/>
          <w:sz w:val="22"/>
        </w:rPr>
        <w:t>, ed. F.K. Lester</w:t>
      </w:r>
      <w:r w:rsidR="00576A34" w:rsidRPr="00720EBF">
        <w:rPr>
          <w:rFonts w:ascii="Arial" w:hAnsi="Arial"/>
          <w:i/>
          <w:sz w:val="22"/>
        </w:rPr>
        <w:t>,</w:t>
      </w:r>
      <w:r w:rsidR="00576A34" w:rsidRPr="00720EBF">
        <w:rPr>
          <w:rFonts w:ascii="Arial" w:hAnsi="Arial"/>
          <w:sz w:val="22"/>
        </w:rPr>
        <w:t xml:space="preserve"> 629-668</w:t>
      </w:r>
      <w:r w:rsidR="00C22AB0" w:rsidRPr="00720EBF">
        <w:rPr>
          <w:rFonts w:ascii="Arial" w:hAnsi="Arial"/>
          <w:sz w:val="22"/>
        </w:rPr>
        <w:t xml:space="preserve">. </w:t>
      </w:r>
      <w:r w:rsidR="00576A34" w:rsidRPr="00720EBF">
        <w:rPr>
          <w:rFonts w:ascii="Arial" w:hAnsi="Arial"/>
          <w:sz w:val="22"/>
          <w:lang w:val="en-GB"/>
        </w:rPr>
        <w:t>Charlotte, NC: Information Age Publishing</w:t>
      </w:r>
      <w:r w:rsidR="00C22AB0" w:rsidRPr="00720EBF">
        <w:rPr>
          <w:rFonts w:ascii="Arial" w:hAnsi="Arial" w:cs="Times New Roman"/>
          <w:sz w:val="22"/>
        </w:rPr>
        <w:t>.</w:t>
      </w:r>
    </w:p>
    <w:p w:rsidR="00C22AB0" w:rsidRPr="00720EBF" w:rsidRDefault="0075470C" w:rsidP="00DD7F4F">
      <w:pPr>
        <w:spacing w:after="120" w:line="360" w:lineRule="auto"/>
        <w:ind w:left="567" w:hanging="567"/>
        <w:jc w:val="both"/>
        <w:rPr>
          <w:rFonts w:ascii="Arial" w:hAnsi="Arial"/>
          <w:sz w:val="22"/>
        </w:rPr>
      </w:pPr>
      <w:r>
        <w:rPr>
          <w:rFonts w:ascii="Arial" w:hAnsi="Arial"/>
          <w:sz w:val="22"/>
        </w:rPr>
        <w:t>Lawson, A.</w:t>
      </w:r>
      <w:r w:rsidR="00C22AB0" w:rsidRPr="00720EBF">
        <w:rPr>
          <w:rFonts w:ascii="Arial" w:hAnsi="Arial"/>
          <w:sz w:val="22"/>
        </w:rPr>
        <w:t xml:space="preserve">E. 1986. A review of research on formal reasoning and science teaching. </w:t>
      </w:r>
      <w:r w:rsidR="00C22AB0" w:rsidRPr="00720EBF">
        <w:rPr>
          <w:rFonts w:ascii="Arial" w:hAnsi="Arial"/>
          <w:i/>
          <w:sz w:val="22"/>
        </w:rPr>
        <w:t>Journal of Research in Science Teaching</w:t>
      </w:r>
      <w:r w:rsidR="00C22AB0" w:rsidRPr="00720EBF">
        <w:rPr>
          <w:rFonts w:ascii="Arial" w:hAnsi="Arial"/>
          <w:sz w:val="22"/>
        </w:rPr>
        <w:t>, no. 22(7): 569-617.</w:t>
      </w:r>
    </w:p>
    <w:p w:rsidR="00C22AB0" w:rsidRPr="00720EBF" w:rsidRDefault="00C22AB0" w:rsidP="00DD7F4F">
      <w:pPr>
        <w:spacing w:after="120" w:line="360" w:lineRule="auto"/>
        <w:ind w:left="567" w:hanging="567"/>
        <w:jc w:val="both"/>
        <w:rPr>
          <w:rFonts w:ascii="Arial" w:hAnsi="Arial"/>
          <w:sz w:val="22"/>
        </w:rPr>
      </w:pPr>
      <w:r w:rsidRPr="00720EBF">
        <w:rPr>
          <w:rFonts w:ascii="Arial" w:hAnsi="Arial"/>
          <w:sz w:val="22"/>
        </w:rPr>
        <w:t xml:space="preserve">Lee, E., and Luft, J.A. 2008. Experienced secondary science teachers’ representations of pedagogical content knowledge. </w:t>
      </w:r>
      <w:r w:rsidRPr="00720EBF">
        <w:rPr>
          <w:rFonts w:ascii="Arial" w:hAnsi="Arial"/>
          <w:i/>
          <w:sz w:val="22"/>
        </w:rPr>
        <w:t xml:space="preserve">International Journal of Science Education, no. </w:t>
      </w:r>
      <w:r w:rsidRPr="00720EBF">
        <w:rPr>
          <w:rFonts w:ascii="Arial" w:hAnsi="Arial"/>
          <w:sz w:val="22"/>
        </w:rPr>
        <w:t>30(10): 1343-1363.</w:t>
      </w:r>
    </w:p>
    <w:p w:rsidR="00C22AB0" w:rsidRPr="00720EBF" w:rsidRDefault="00C22AB0" w:rsidP="00DD7F4F">
      <w:pPr>
        <w:spacing w:after="120" w:line="360" w:lineRule="auto"/>
        <w:ind w:left="567" w:hanging="567"/>
        <w:jc w:val="both"/>
        <w:rPr>
          <w:rFonts w:ascii="Arial" w:hAnsi="Arial"/>
          <w:sz w:val="22"/>
        </w:rPr>
      </w:pPr>
      <w:r w:rsidRPr="00720EBF">
        <w:rPr>
          <w:rFonts w:ascii="Arial" w:hAnsi="Arial"/>
          <w:sz w:val="22"/>
        </w:rPr>
        <w:t xml:space="preserve">Livy, S., and Vale, C. 2011. First year pre-service teachers’ mathematical content knowledge:  Methods of solution for a ratio question. </w:t>
      </w:r>
      <w:r w:rsidRPr="00720EBF">
        <w:rPr>
          <w:rFonts w:ascii="Arial" w:hAnsi="Arial"/>
          <w:i/>
          <w:sz w:val="22"/>
        </w:rPr>
        <w:t>Mathematics Teacher Education and Development</w:t>
      </w:r>
      <w:r w:rsidRPr="00720EBF">
        <w:rPr>
          <w:rFonts w:ascii="Arial" w:hAnsi="Arial"/>
          <w:sz w:val="22"/>
        </w:rPr>
        <w:t>, no. 13 (2): 22-43.</w:t>
      </w:r>
    </w:p>
    <w:p w:rsidR="00C22AB0" w:rsidRPr="00720EBF" w:rsidRDefault="00C94D67"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5" w:hanging="567"/>
        <w:jc w:val="both"/>
        <w:rPr>
          <w:rFonts w:ascii="Arial" w:hAnsi="Arial"/>
          <w:sz w:val="22"/>
          <w:lang w:val="en-GB"/>
        </w:rPr>
      </w:pPr>
      <w:r w:rsidRPr="00720EBF">
        <w:rPr>
          <w:rFonts w:ascii="Arial" w:hAnsi="Arial"/>
          <w:sz w:val="22"/>
          <w:lang w:val="en-GB"/>
        </w:rPr>
        <w:t xml:space="preserve">National Research Council. 2001.  </w:t>
      </w:r>
      <w:r w:rsidRPr="00720EBF">
        <w:rPr>
          <w:rFonts w:ascii="Arial" w:hAnsi="Arial"/>
          <w:i/>
          <w:sz w:val="22"/>
          <w:lang w:val="en-GB"/>
        </w:rPr>
        <w:t>Adding It Up: Helping Children Learn Mathematics</w:t>
      </w:r>
      <w:r w:rsidRPr="00720EBF">
        <w:rPr>
          <w:rFonts w:ascii="Arial" w:hAnsi="Arial"/>
          <w:sz w:val="22"/>
          <w:lang w:val="en-GB"/>
        </w:rPr>
        <w:t>. Washington, DC: The National Academies Press</w:t>
      </w:r>
      <w:r w:rsidR="00C22AB0" w:rsidRPr="00720EBF">
        <w:rPr>
          <w:rFonts w:ascii="Arial" w:hAnsi="Arial"/>
          <w:sz w:val="22"/>
          <w:lang w:val="en-GB"/>
        </w:rPr>
        <w:t>.</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6" w:hanging="567"/>
        <w:jc w:val="both"/>
        <w:rPr>
          <w:rFonts w:ascii="Arial" w:hAnsi="Arial" w:cs="Times"/>
          <w:sz w:val="22"/>
        </w:rPr>
      </w:pPr>
      <w:r w:rsidRPr="00720EBF">
        <w:rPr>
          <w:rFonts w:ascii="Arial" w:hAnsi="Arial" w:cs="Tahoma"/>
          <w:sz w:val="22"/>
          <w:szCs w:val="22"/>
        </w:rPr>
        <w:t xml:space="preserve">Nunes, T. 1997. Systems </w:t>
      </w:r>
      <w:r w:rsidRPr="00720EBF">
        <w:rPr>
          <w:rFonts w:ascii="Arial" w:hAnsi="Arial" w:cs="Times"/>
          <w:sz w:val="22"/>
        </w:rPr>
        <w:t>of</w:t>
      </w:r>
      <w:r w:rsidRPr="00720EBF">
        <w:rPr>
          <w:rFonts w:ascii="Arial" w:hAnsi="Arial" w:cs="Tahoma"/>
          <w:sz w:val="22"/>
          <w:szCs w:val="22"/>
        </w:rPr>
        <w:t xml:space="preserve"> signs and mathematical reasoning.  In. </w:t>
      </w:r>
      <w:r w:rsidRPr="00720EBF">
        <w:rPr>
          <w:rFonts w:ascii="Arial" w:hAnsi="Arial" w:cs="Times"/>
          <w:bCs/>
          <w:i/>
          <w:sz w:val="22"/>
          <w:szCs w:val="27"/>
        </w:rPr>
        <w:t xml:space="preserve">Learning and Teaching Mathematics: </w:t>
      </w:r>
      <w:r w:rsidRPr="00720EBF">
        <w:rPr>
          <w:rFonts w:ascii="Arial" w:hAnsi="Arial" w:cs="Times"/>
          <w:i/>
          <w:sz w:val="22"/>
          <w:szCs w:val="27"/>
        </w:rPr>
        <w:t>An International Perspective</w:t>
      </w:r>
      <w:r w:rsidRPr="00720EBF">
        <w:rPr>
          <w:rFonts w:ascii="Arial" w:hAnsi="Arial" w:cs="Times"/>
          <w:sz w:val="22"/>
          <w:szCs w:val="27"/>
        </w:rPr>
        <w:t xml:space="preserve">, ed. </w:t>
      </w:r>
      <w:r w:rsidRPr="00720EBF">
        <w:rPr>
          <w:rFonts w:ascii="Arial" w:hAnsi="Arial" w:cs="Tahoma"/>
          <w:sz w:val="22"/>
          <w:szCs w:val="22"/>
        </w:rPr>
        <w:t>T. Nunes and P. Bryant,</w:t>
      </w:r>
      <w:r w:rsidRPr="00720EBF">
        <w:rPr>
          <w:rFonts w:ascii="Arial" w:hAnsi="Arial" w:cs="Times"/>
          <w:sz w:val="22"/>
          <w:szCs w:val="27"/>
        </w:rPr>
        <w:t xml:space="preserve"> 29-44. </w:t>
      </w:r>
      <w:r w:rsidRPr="00720EBF">
        <w:rPr>
          <w:rFonts w:ascii="Arial" w:hAnsi="Arial" w:cs="Times"/>
          <w:sz w:val="22"/>
        </w:rPr>
        <w:t>Hove, UK: Psychology Press.</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6" w:hanging="567"/>
        <w:jc w:val="both"/>
        <w:rPr>
          <w:rFonts w:ascii="Arial" w:hAnsi="Arial" w:cs="Times"/>
          <w:sz w:val="22"/>
        </w:rPr>
      </w:pPr>
      <w:r w:rsidRPr="00720EBF">
        <w:rPr>
          <w:rFonts w:ascii="Arial" w:hAnsi="Arial" w:cs="Tahoma"/>
          <w:sz w:val="22"/>
          <w:szCs w:val="22"/>
        </w:rPr>
        <w:t xml:space="preserve">Nunes, T., and </w:t>
      </w:r>
      <w:r w:rsidRPr="00720EBF">
        <w:rPr>
          <w:rFonts w:ascii="Arial" w:hAnsi="Arial"/>
          <w:sz w:val="22"/>
        </w:rPr>
        <w:t>Bryant</w:t>
      </w:r>
      <w:r w:rsidRPr="00720EBF">
        <w:rPr>
          <w:rFonts w:ascii="Arial" w:hAnsi="Arial" w:cs="Tahoma"/>
          <w:sz w:val="22"/>
          <w:szCs w:val="22"/>
        </w:rPr>
        <w:t xml:space="preserve">, P. (eds.), 1997. </w:t>
      </w:r>
      <w:r w:rsidRPr="00720EBF">
        <w:rPr>
          <w:rFonts w:ascii="Arial" w:hAnsi="Arial" w:cs="Times"/>
          <w:bCs/>
          <w:i/>
          <w:sz w:val="22"/>
          <w:szCs w:val="27"/>
        </w:rPr>
        <w:t xml:space="preserve">Learning and Teaching Mathematics: </w:t>
      </w:r>
      <w:r w:rsidRPr="00720EBF">
        <w:rPr>
          <w:rFonts w:ascii="Arial" w:hAnsi="Arial" w:cs="Times"/>
          <w:i/>
          <w:sz w:val="22"/>
          <w:szCs w:val="27"/>
        </w:rPr>
        <w:t>An International Perspective</w:t>
      </w:r>
      <w:r w:rsidRPr="00720EBF">
        <w:rPr>
          <w:rFonts w:ascii="Arial" w:hAnsi="Arial" w:cs="Times"/>
          <w:sz w:val="22"/>
          <w:szCs w:val="27"/>
        </w:rPr>
        <w:t xml:space="preserve">. </w:t>
      </w:r>
      <w:r w:rsidRPr="00720EBF">
        <w:rPr>
          <w:rFonts w:ascii="Arial" w:hAnsi="Arial" w:cs="Times"/>
          <w:sz w:val="22"/>
        </w:rPr>
        <w:t>Hove, UK: Psychology Press.</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6" w:hanging="567"/>
        <w:jc w:val="both"/>
        <w:rPr>
          <w:rFonts w:ascii="Arial" w:hAnsi="Arial"/>
          <w:sz w:val="22"/>
        </w:rPr>
      </w:pPr>
      <w:r w:rsidRPr="00720EBF">
        <w:rPr>
          <w:rFonts w:ascii="Arial" w:hAnsi="Arial"/>
          <w:sz w:val="22"/>
        </w:rPr>
        <w:t>Oldham, E., van der Valk, T., Broekman, H., and Berenson, S. 2000. Beginning pre-service teachers’ approaches to teaching the area concept: Identifying tendencies towards realistic, structuralist, mechanist, or empiricist mathematics education</w:t>
      </w:r>
      <w:r w:rsidRPr="00720EBF">
        <w:rPr>
          <w:rFonts w:ascii="Arial" w:hAnsi="Arial"/>
          <w:i/>
          <w:sz w:val="22"/>
        </w:rPr>
        <w:t xml:space="preserve">. European Journal of Teacher Education, </w:t>
      </w:r>
      <w:r w:rsidRPr="00720EBF">
        <w:rPr>
          <w:rFonts w:ascii="Arial" w:hAnsi="Arial"/>
          <w:sz w:val="22"/>
        </w:rPr>
        <w:t xml:space="preserve">no.22(1): 23-43. </w:t>
      </w:r>
    </w:p>
    <w:p w:rsidR="00C22AB0" w:rsidRPr="00720EBF" w:rsidRDefault="0075470C"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6" w:hanging="567"/>
        <w:jc w:val="both"/>
        <w:rPr>
          <w:rFonts w:ascii="Arial" w:hAnsi="Arial"/>
          <w:sz w:val="22"/>
        </w:rPr>
      </w:pPr>
      <w:r>
        <w:rPr>
          <w:rFonts w:ascii="Arial" w:hAnsi="Arial"/>
          <w:sz w:val="22"/>
        </w:rPr>
        <w:t>Shulman, L.</w:t>
      </w:r>
      <w:r w:rsidR="004979EF">
        <w:rPr>
          <w:rFonts w:ascii="Arial" w:hAnsi="Arial"/>
          <w:sz w:val="22"/>
        </w:rPr>
        <w:t>S. 1986</w:t>
      </w:r>
      <w:r w:rsidR="00C22AB0" w:rsidRPr="00720EBF">
        <w:rPr>
          <w:rFonts w:ascii="Arial" w:hAnsi="Arial"/>
          <w:sz w:val="22"/>
        </w:rPr>
        <w:t xml:space="preserve">. Those who understand: Knowledge growth in teaching. </w:t>
      </w:r>
      <w:r w:rsidR="00C22AB0" w:rsidRPr="00720EBF">
        <w:rPr>
          <w:rFonts w:ascii="Arial" w:hAnsi="Arial"/>
          <w:i/>
          <w:sz w:val="22"/>
        </w:rPr>
        <w:t>Educational Researcher</w:t>
      </w:r>
      <w:r w:rsidR="00C22AB0" w:rsidRPr="00720EBF">
        <w:rPr>
          <w:rFonts w:ascii="Arial" w:hAnsi="Arial"/>
          <w:sz w:val="22"/>
        </w:rPr>
        <w:t>, no. 15(2): 4-14.</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5" w:hanging="567"/>
        <w:jc w:val="both"/>
        <w:rPr>
          <w:rFonts w:ascii="Arial" w:eastAsia="ＭＳ Ｐゴシック" w:hAnsi="Arial" w:cstheme="minorBidi"/>
          <w:sz w:val="22"/>
          <w:szCs w:val="24"/>
          <w:lang w:val="en-GB"/>
        </w:rPr>
      </w:pPr>
      <w:r w:rsidRPr="00720EBF">
        <w:rPr>
          <w:rFonts w:ascii="Arial" w:hAnsi="Arial"/>
          <w:sz w:val="22"/>
        </w:rPr>
        <w:t>Skemp, R.</w:t>
      </w:r>
      <w:r w:rsidRPr="00720EBF">
        <w:rPr>
          <w:rFonts w:ascii="Arial" w:hAnsi="Arial"/>
          <w:sz w:val="22"/>
          <w:lang w:val="en-GB"/>
        </w:rPr>
        <w:t xml:space="preserve"> 1976. </w:t>
      </w:r>
      <w:r w:rsidRPr="00720EBF">
        <w:rPr>
          <w:rFonts w:ascii="Arial" w:eastAsia="ＭＳ Ｐゴシック" w:hAnsi="Arial" w:cstheme="minorBidi"/>
          <w:sz w:val="22"/>
          <w:szCs w:val="24"/>
          <w:lang w:val="en-GB"/>
        </w:rPr>
        <w:t xml:space="preserve">Relational </w:t>
      </w:r>
      <w:r w:rsidRPr="00720EBF">
        <w:rPr>
          <w:rFonts w:ascii="Arial" w:hAnsi="Arial" w:cs="Times"/>
          <w:bCs/>
          <w:sz w:val="22"/>
          <w:szCs w:val="27"/>
        </w:rPr>
        <w:t>understanding</w:t>
      </w:r>
      <w:r w:rsidRPr="00720EBF">
        <w:rPr>
          <w:rFonts w:ascii="Arial" w:eastAsia="ＭＳ Ｐゴシック" w:hAnsi="Arial" w:cstheme="minorBidi"/>
          <w:sz w:val="22"/>
          <w:szCs w:val="24"/>
          <w:lang w:val="en-GB"/>
        </w:rPr>
        <w:t xml:space="preserve"> </w:t>
      </w:r>
      <w:r w:rsidRPr="00720EBF">
        <w:rPr>
          <w:rFonts w:ascii="Arial" w:hAnsi="Arial"/>
          <w:sz w:val="22"/>
          <w:lang w:val="en-GB"/>
        </w:rPr>
        <w:t>and instrumental understanding.</w:t>
      </w:r>
      <w:r w:rsidRPr="00720EBF">
        <w:rPr>
          <w:rFonts w:ascii="Arial" w:eastAsia="ＭＳ Ｐゴシック" w:hAnsi="Arial" w:cstheme="minorBidi"/>
          <w:sz w:val="22"/>
          <w:szCs w:val="24"/>
          <w:lang w:val="en-GB"/>
        </w:rPr>
        <w:t xml:space="preserve"> </w:t>
      </w:r>
      <w:r w:rsidRPr="00720EBF">
        <w:rPr>
          <w:rFonts w:ascii="Arial" w:eastAsia="ＭＳ Ｐゴシック" w:hAnsi="Arial" w:cstheme="minorBidi"/>
          <w:i/>
          <w:iCs/>
          <w:sz w:val="22"/>
          <w:szCs w:val="24"/>
          <w:lang w:val="en-GB"/>
        </w:rPr>
        <w:t xml:space="preserve">Mathematics Teaching, </w:t>
      </w:r>
      <w:r w:rsidRPr="00720EBF">
        <w:rPr>
          <w:rFonts w:ascii="Arial" w:eastAsia="ＭＳ Ｐゴシック" w:hAnsi="Arial" w:cstheme="minorBidi"/>
          <w:iCs/>
          <w:sz w:val="22"/>
          <w:szCs w:val="24"/>
          <w:lang w:val="en-GB"/>
        </w:rPr>
        <w:t>no.</w:t>
      </w:r>
      <w:r w:rsidRPr="00720EBF">
        <w:rPr>
          <w:rFonts w:ascii="Arial" w:hAnsi="Arial"/>
          <w:sz w:val="22"/>
          <w:lang w:val="en-GB"/>
        </w:rPr>
        <w:t xml:space="preserve"> 77</w:t>
      </w:r>
      <w:r w:rsidRPr="00720EBF">
        <w:rPr>
          <w:rFonts w:ascii="Arial" w:eastAsia="ＭＳ Ｐゴシック" w:hAnsi="Arial" w:cstheme="minorBidi"/>
          <w:sz w:val="22"/>
          <w:szCs w:val="24"/>
          <w:lang w:val="en-GB"/>
        </w:rPr>
        <w:t>: 20-26.</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5" w:hanging="567"/>
        <w:jc w:val="both"/>
        <w:rPr>
          <w:rFonts w:ascii="Arial" w:hAnsi="Arial" w:cs="Times"/>
          <w:bCs/>
          <w:sz w:val="22"/>
          <w:szCs w:val="27"/>
        </w:rPr>
      </w:pPr>
      <w:r w:rsidRPr="00720EBF">
        <w:rPr>
          <w:rFonts w:ascii="Arial" w:hAnsi="Arial" w:cs="Times"/>
          <w:bCs/>
          <w:sz w:val="22"/>
          <w:szCs w:val="27"/>
        </w:rPr>
        <w:t>Strauss, A., and Corbin,</w:t>
      </w:r>
      <w:r w:rsidR="00CC1474" w:rsidRPr="00720EBF">
        <w:rPr>
          <w:rFonts w:ascii="Arial" w:hAnsi="Arial" w:cs="Times"/>
          <w:bCs/>
          <w:sz w:val="22"/>
          <w:szCs w:val="27"/>
        </w:rPr>
        <w:t xml:space="preserve"> </w:t>
      </w:r>
      <w:r w:rsidRPr="00720EBF">
        <w:rPr>
          <w:rFonts w:ascii="Arial" w:hAnsi="Arial" w:cs="Times"/>
          <w:bCs/>
          <w:sz w:val="22"/>
          <w:szCs w:val="27"/>
        </w:rPr>
        <w:t xml:space="preserve">J. 1990. </w:t>
      </w:r>
      <w:r w:rsidRPr="00720EBF">
        <w:rPr>
          <w:rFonts w:ascii="Arial" w:hAnsi="Arial" w:cs="Times"/>
          <w:bCs/>
          <w:i/>
          <w:sz w:val="22"/>
          <w:szCs w:val="27"/>
        </w:rPr>
        <w:t>Basics of qualitative research: Grounded theory procedures and techniques</w:t>
      </w:r>
      <w:r w:rsidRPr="00720EBF">
        <w:rPr>
          <w:rFonts w:ascii="Arial" w:hAnsi="Arial" w:cs="Times"/>
          <w:bCs/>
          <w:sz w:val="22"/>
          <w:szCs w:val="27"/>
        </w:rPr>
        <w:t>. Newbury Park, California: Sage Publications, Inc.</w:t>
      </w:r>
    </w:p>
    <w:p w:rsidR="00C22AB0" w:rsidRPr="00720EBF" w:rsidRDefault="00C22AB0" w:rsidP="00DD7F4F">
      <w:pPr>
        <w:pStyle w:val="Defaul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360" w:lineRule="auto"/>
        <w:ind w:left="567" w:right="215" w:hanging="567"/>
        <w:jc w:val="both"/>
        <w:rPr>
          <w:rFonts w:ascii="Arial" w:hAnsi="Arial" w:cs="Times"/>
          <w:bCs/>
          <w:sz w:val="22"/>
          <w:szCs w:val="27"/>
        </w:rPr>
      </w:pPr>
      <w:r w:rsidRPr="00720EBF">
        <w:rPr>
          <w:rFonts w:ascii="Arial" w:hAnsi="Arial" w:cs="Times"/>
          <w:bCs/>
          <w:sz w:val="22"/>
          <w:szCs w:val="27"/>
        </w:rPr>
        <w:t xml:space="preserve">Van Driel, D., De Jong, O., and Verloop, N. 2002. The development of preservice chemistry teachers’ pedagogical content knowledge. </w:t>
      </w:r>
      <w:r w:rsidRPr="00720EBF">
        <w:rPr>
          <w:rFonts w:ascii="Arial" w:hAnsi="Arial" w:cs="Times"/>
          <w:bCs/>
          <w:i/>
          <w:sz w:val="22"/>
          <w:szCs w:val="27"/>
        </w:rPr>
        <w:t>Science Education</w:t>
      </w:r>
      <w:r w:rsidRPr="00720EBF">
        <w:rPr>
          <w:rFonts w:ascii="Arial" w:hAnsi="Arial" w:cs="Times"/>
          <w:bCs/>
          <w:sz w:val="22"/>
          <w:szCs w:val="27"/>
        </w:rPr>
        <w:t>, no. 86(4): 572-590.</w:t>
      </w:r>
    </w:p>
    <w:p w:rsidR="00C22AB0" w:rsidRPr="00720EBF" w:rsidRDefault="00C22AB0" w:rsidP="00DD7F4F">
      <w:pPr>
        <w:pStyle w:val="Heading1"/>
        <w:spacing w:before="2" w:after="2" w:line="360" w:lineRule="auto"/>
        <w:ind w:left="567" w:hanging="567"/>
        <w:jc w:val="both"/>
        <w:rPr>
          <w:rFonts w:ascii="Arial" w:hAnsi="Arial"/>
          <w:b w:val="0"/>
          <w:sz w:val="22"/>
        </w:rPr>
      </w:pPr>
      <w:r w:rsidRPr="00720EBF">
        <w:rPr>
          <w:rFonts w:ascii="Arial" w:hAnsi="Arial" w:cs="Tahoma"/>
          <w:b w:val="0"/>
          <w:sz w:val="22"/>
          <w:szCs w:val="22"/>
        </w:rPr>
        <w:t xml:space="preserve">Van Someren, M.W. (ed.), 1998. </w:t>
      </w:r>
      <w:r w:rsidRPr="00720EBF">
        <w:rPr>
          <w:rFonts w:ascii="Arial" w:hAnsi="Arial" w:cs="Tahoma"/>
          <w:b w:val="0"/>
          <w:i/>
          <w:sz w:val="22"/>
          <w:szCs w:val="22"/>
        </w:rPr>
        <w:t xml:space="preserve">Learning with multiple representations. </w:t>
      </w:r>
      <w:r w:rsidRPr="00720EBF">
        <w:rPr>
          <w:rFonts w:ascii="Arial" w:hAnsi="Arial" w:cs="Tahoma"/>
          <w:b w:val="0"/>
          <w:sz w:val="22"/>
          <w:szCs w:val="22"/>
        </w:rPr>
        <w:t>NY: Elsevier Science.</w:t>
      </w:r>
    </w:p>
    <w:p w:rsidR="00786854" w:rsidRPr="00A75120" w:rsidRDefault="00631111" w:rsidP="00A75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ind w:left="567" w:hanging="567"/>
        <w:jc w:val="both"/>
        <w:rPr>
          <w:rFonts w:ascii="Arial" w:hAnsi="Arial" w:cs="Times"/>
          <w:color w:val="000000"/>
          <w:sz w:val="22"/>
          <w:szCs w:val="20"/>
        </w:rPr>
      </w:pPr>
      <w:r w:rsidRPr="00720EBF">
        <w:rPr>
          <w:rFonts w:ascii="Arial" w:hAnsi="Arial" w:cs="Tahoma"/>
          <w:sz w:val="22"/>
          <w:szCs w:val="22"/>
        </w:rPr>
        <w:t>Vergn</w:t>
      </w:r>
      <w:r w:rsidR="00C22AB0" w:rsidRPr="00720EBF">
        <w:rPr>
          <w:rFonts w:ascii="Arial" w:hAnsi="Arial" w:cs="Tahoma"/>
          <w:sz w:val="22"/>
          <w:szCs w:val="22"/>
        </w:rPr>
        <w:t xml:space="preserve">aud, G. 1997. </w:t>
      </w:r>
      <w:r w:rsidR="00C2563E" w:rsidRPr="00720EBF">
        <w:rPr>
          <w:rFonts w:ascii="Arial" w:hAnsi="Arial" w:cs="Tahoma"/>
          <w:sz w:val="22"/>
          <w:szCs w:val="22"/>
        </w:rPr>
        <w:t>The nature of mathematical concepts.</w:t>
      </w:r>
      <w:r w:rsidR="00C22AB0" w:rsidRPr="00720EBF">
        <w:rPr>
          <w:rFonts w:ascii="Arial" w:hAnsi="Arial" w:cs="Tahoma"/>
          <w:sz w:val="22"/>
          <w:szCs w:val="22"/>
        </w:rPr>
        <w:t xml:space="preserve"> In </w:t>
      </w:r>
      <w:r w:rsidR="00C22AB0" w:rsidRPr="00720EBF">
        <w:rPr>
          <w:rFonts w:ascii="Arial" w:hAnsi="Arial" w:cs="Times"/>
          <w:bCs/>
          <w:i/>
          <w:color w:val="000000"/>
          <w:sz w:val="22"/>
          <w:szCs w:val="27"/>
        </w:rPr>
        <w:t xml:space="preserve">Learning and Teaching Mathematics: </w:t>
      </w:r>
      <w:r w:rsidR="00C22AB0" w:rsidRPr="00720EBF">
        <w:rPr>
          <w:rFonts w:ascii="Arial" w:hAnsi="Arial" w:cs="Times"/>
          <w:i/>
          <w:color w:val="000000"/>
          <w:sz w:val="22"/>
          <w:szCs w:val="27"/>
        </w:rPr>
        <w:t>An International Perspective</w:t>
      </w:r>
      <w:r w:rsidR="00C22AB0" w:rsidRPr="00720EBF">
        <w:rPr>
          <w:rFonts w:ascii="Arial" w:hAnsi="Arial" w:cs="Times"/>
          <w:color w:val="000000"/>
          <w:sz w:val="22"/>
          <w:szCs w:val="27"/>
        </w:rPr>
        <w:t xml:space="preserve">, ed. </w:t>
      </w:r>
      <w:r w:rsidR="00C22AB0" w:rsidRPr="00720EBF">
        <w:rPr>
          <w:rFonts w:ascii="Arial" w:hAnsi="Arial" w:cs="Tahoma"/>
          <w:sz w:val="22"/>
          <w:szCs w:val="22"/>
        </w:rPr>
        <w:t xml:space="preserve">T. Nunes and P. Bryant, </w:t>
      </w:r>
      <w:r w:rsidR="00C2563E" w:rsidRPr="00720EBF">
        <w:rPr>
          <w:rFonts w:ascii="Arial" w:hAnsi="Arial"/>
          <w:sz w:val="22"/>
        </w:rPr>
        <w:t>5-28</w:t>
      </w:r>
      <w:r w:rsidR="00C22AB0" w:rsidRPr="00720EBF">
        <w:rPr>
          <w:rFonts w:ascii="Arial" w:hAnsi="Arial"/>
          <w:color w:val="000000"/>
          <w:sz w:val="22"/>
        </w:rPr>
        <w:t>.</w:t>
      </w:r>
      <w:r w:rsidR="00C22AB0" w:rsidRPr="00720EBF">
        <w:rPr>
          <w:rFonts w:ascii="Arial" w:hAnsi="Arial" w:cs="Tahoma"/>
          <w:sz w:val="22"/>
          <w:szCs w:val="22"/>
        </w:rPr>
        <w:t xml:space="preserve"> </w:t>
      </w:r>
      <w:r w:rsidR="00C22AB0" w:rsidRPr="00720EBF">
        <w:rPr>
          <w:rFonts w:ascii="Arial" w:hAnsi="Arial" w:cs="Times"/>
          <w:color w:val="000000"/>
          <w:sz w:val="22"/>
        </w:rPr>
        <w:t>Hove, UK: Psychology Press.</w:t>
      </w:r>
    </w:p>
    <w:sectPr w:rsidR="00786854" w:rsidRPr="00A75120" w:rsidSect="00541CC6">
      <w:pgSz w:w="11904" w:h="16834"/>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0B" w:rsidRDefault="00AA110B" w:rsidP="001642FA">
      <w:r>
        <w:separator/>
      </w:r>
    </w:p>
  </w:endnote>
  <w:endnote w:type="continuationSeparator" w:id="0">
    <w:p w:rsidR="00AA110B" w:rsidRDefault="00AA110B" w:rsidP="001642F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0B" w:rsidRDefault="00AA110B" w:rsidP="001642FA">
      <w:r>
        <w:separator/>
      </w:r>
    </w:p>
  </w:footnote>
  <w:footnote w:type="continuationSeparator" w:id="0">
    <w:p w:rsidR="00AA110B" w:rsidRDefault="00AA110B" w:rsidP="001642FA">
      <w:r>
        <w:continuationSeparator/>
      </w:r>
    </w:p>
  </w:footnote>
  <w:footnote w:id="1">
    <w:p w:rsidR="00DF3ACD" w:rsidRPr="00876739" w:rsidRDefault="00DF3ACD" w:rsidP="00720EBF">
      <w:pPr>
        <w:pStyle w:val="FootnoteText"/>
        <w:rPr>
          <w:rFonts w:ascii="Arial" w:hAnsi="Arial" w:cs="Arial"/>
        </w:rPr>
      </w:pPr>
      <w:r w:rsidRPr="000E65DE">
        <w:rPr>
          <w:rStyle w:val="FootnoteReference"/>
          <w:rFonts w:ascii="Arial" w:hAnsi="Arial" w:cs="Arial"/>
        </w:rPr>
        <w:t>*</w:t>
      </w:r>
      <w:r w:rsidRPr="000E65DE">
        <w:rPr>
          <w:rFonts w:ascii="Arial" w:hAnsi="Arial" w:cs="Arial"/>
        </w:rPr>
        <w:t xml:space="preserve"> Corresponding author.  </w:t>
      </w:r>
      <w:r w:rsidRPr="00876739">
        <w:rPr>
          <w:rFonts w:ascii="Arial" w:hAnsi="Arial" w:cs="Arial"/>
        </w:rPr>
        <w:t xml:space="preserve">Email: </w:t>
      </w:r>
      <w:hyperlink r:id="rId1" w:history="1">
        <w:r w:rsidRPr="00B10420">
          <w:rPr>
            <w:rStyle w:val="Hyperlink"/>
            <w:rFonts w:ascii="Arial" w:hAnsi="Arial" w:cs="Arial"/>
          </w:rPr>
          <w:t>sarah.berenson@gmail.com</w:t>
        </w:r>
      </w:hyperlink>
      <w:r>
        <w:rPr>
          <w:rFonts w:ascii="Arial" w:hAnsi="Arial" w:cs="Arial"/>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024B1"/>
    <w:multiLevelType w:val="multilevel"/>
    <w:tmpl w:val="B7585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5E4CD2"/>
    <w:multiLevelType w:val="hybridMultilevel"/>
    <w:tmpl w:val="9044EA88"/>
    <w:lvl w:ilvl="0" w:tplc="1AB2693A">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3551922"/>
    <w:multiLevelType w:val="hybridMultilevel"/>
    <w:tmpl w:val="E4D2C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45611"/>
    <w:multiLevelType w:val="hybridMultilevel"/>
    <w:tmpl w:val="39060B14"/>
    <w:lvl w:ilvl="0" w:tplc="14903F84">
      <w:numFmt w:val="bullet"/>
      <w:lvlText w:val="-"/>
      <w:lvlJc w:val="left"/>
      <w:pPr>
        <w:ind w:left="720" w:hanging="360"/>
      </w:pPr>
      <w:rPr>
        <w:rFonts w:ascii="Times New Roman" w:eastAsiaTheme="minorHAnsi" w:hAnsi="Times New Roman" w:cs="Times New Roman" w:hint="default"/>
      </w:rPr>
    </w:lvl>
    <w:lvl w:ilvl="1" w:tplc="08160003" w:tentative="1">
      <w:start w:val="1"/>
      <w:numFmt w:val="bullet"/>
      <w:lvlText w:val="o"/>
      <w:lvlJc w:val="left"/>
      <w:pPr>
        <w:ind w:left="1440" w:hanging="360"/>
      </w:pPr>
      <w:rPr>
        <w:rFonts w:ascii="Courier New" w:hAnsi="Courier New"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Arial"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Arial"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C7F63"/>
    <w:rsid w:val="0002661A"/>
    <w:rsid w:val="00034522"/>
    <w:rsid w:val="000439F9"/>
    <w:rsid w:val="00055B75"/>
    <w:rsid w:val="0005664D"/>
    <w:rsid w:val="0006029D"/>
    <w:rsid w:val="00081465"/>
    <w:rsid w:val="000B26C0"/>
    <w:rsid w:val="000C4D1A"/>
    <w:rsid w:val="000C5D3F"/>
    <w:rsid w:val="000D6DB7"/>
    <w:rsid w:val="000E73A7"/>
    <w:rsid w:val="000F16AE"/>
    <w:rsid w:val="00101728"/>
    <w:rsid w:val="001433E1"/>
    <w:rsid w:val="001642FA"/>
    <w:rsid w:val="00176F30"/>
    <w:rsid w:val="00177266"/>
    <w:rsid w:val="0018748C"/>
    <w:rsid w:val="00192E2C"/>
    <w:rsid w:val="00197457"/>
    <w:rsid w:val="001B256E"/>
    <w:rsid w:val="001C1A16"/>
    <w:rsid w:val="001F464D"/>
    <w:rsid w:val="00241ECB"/>
    <w:rsid w:val="002623BC"/>
    <w:rsid w:val="002752FB"/>
    <w:rsid w:val="00283822"/>
    <w:rsid w:val="002848AC"/>
    <w:rsid w:val="002D5671"/>
    <w:rsid w:val="002E185B"/>
    <w:rsid w:val="002F1865"/>
    <w:rsid w:val="002F5AA0"/>
    <w:rsid w:val="00301831"/>
    <w:rsid w:val="00301E57"/>
    <w:rsid w:val="00334B7A"/>
    <w:rsid w:val="00345AE7"/>
    <w:rsid w:val="00362F76"/>
    <w:rsid w:val="003662F2"/>
    <w:rsid w:val="00374359"/>
    <w:rsid w:val="003A2CC8"/>
    <w:rsid w:val="003A494B"/>
    <w:rsid w:val="003B2055"/>
    <w:rsid w:val="003F78AA"/>
    <w:rsid w:val="004039F5"/>
    <w:rsid w:val="00413282"/>
    <w:rsid w:val="004661EF"/>
    <w:rsid w:val="00472925"/>
    <w:rsid w:val="004906F6"/>
    <w:rsid w:val="004979EF"/>
    <w:rsid w:val="004A25F1"/>
    <w:rsid w:val="004A74D5"/>
    <w:rsid w:val="004B22CB"/>
    <w:rsid w:val="004C42B9"/>
    <w:rsid w:val="004C7A2A"/>
    <w:rsid w:val="004E14E4"/>
    <w:rsid w:val="004E2540"/>
    <w:rsid w:val="004F26EA"/>
    <w:rsid w:val="00516C68"/>
    <w:rsid w:val="0053457F"/>
    <w:rsid w:val="00541CC6"/>
    <w:rsid w:val="00541D03"/>
    <w:rsid w:val="005448E7"/>
    <w:rsid w:val="0057679A"/>
    <w:rsid w:val="00576A34"/>
    <w:rsid w:val="005C6210"/>
    <w:rsid w:val="005F46C0"/>
    <w:rsid w:val="00603C87"/>
    <w:rsid w:val="00631111"/>
    <w:rsid w:val="00633A22"/>
    <w:rsid w:val="006363BE"/>
    <w:rsid w:val="00653031"/>
    <w:rsid w:val="00662A56"/>
    <w:rsid w:val="00676A4A"/>
    <w:rsid w:val="0068647F"/>
    <w:rsid w:val="00696D82"/>
    <w:rsid w:val="006B7A32"/>
    <w:rsid w:val="006E34CD"/>
    <w:rsid w:val="006E3BA5"/>
    <w:rsid w:val="006F52F4"/>
    <w:rsid w:val="00714F77"/>
    <w:rsid w:val="00720EBF"/>
    <w:rsid w:val="0075470C"/>
    <w:rsid w:val="00786854"/>
    <w:rsid w:val="007B6D17"/>
    <w:rsid w:val="007D6113"/>
    <w:rsid w:val="007E0DFB"/>
    <w:rsid w:val="007F2328"/>
    <w:rsid w:val="007F7530"/>
    <w:rsid w:val="008007C3"/>
    <w:rsid w:val="0082167A"/>
    <w:rsid w:val="00825C17"/>
    <w:rsid w:val="00834B94"/>
    <w:rsid w:val="00841555"/>
    <w:rsid w:val="00843F34"/>
    <w:rsid w:val="00844FCC"/>
    <w:rsid w:val="008750B8"/>
    <w:rsid w:val="008B72E7"/>
    <w:rsid w:val="008D03C7"/>
    <w:rsid w:val="008D4CC0"/>
    <w:rsid w:val="009029F4"/>
    <w:rsid w:val="009364ED"/>
    <w:rsid w:val="0094170A"/>
    <w:rsid w:val="00952B13"/>
    <w:rsid w:val="00977318"/>
    <w:rsid w:val="00997B75"/>
    <w:rsid w:val="009B0E02"/>
    <w:rsid w:val="009E2B63"/>
    <w:rsid w:val="009F619E"/>
    <w:rsid w:val="00A06CFB"/>
    <w:rsid w:val="00A16356"/>
    <w:rsid w:val="00A224F3"/>
    <w:rsid w:val="00A23794"/>
    <w:rsid w:val="00A420BD"/>
    <w:rsid w:val="00A42CE3"/>
    <w:rsid w:val="00A55FB7"/>
    <w:rsid w:val="00A56AA5"/>
    <w:rsid w:val="00A75120"/>
    <w:rsid w:val="00AA110B"/>
    <w:rsid w:val="00AA13EC"/>
    <w:rsid w:val="00AC00E5"/>
    <w:rsid w:val="00AD57C1"/>
    <w:rsid w:val="00AE4613"/>
    <w:rsid w:val="00AF1842"/>
    <w:rsid w:val="00B142DE"/>
    <w:rsid w:val="00B17E2C"/>
    <w:rsid w:val="00B2085C"/>
    <w:rsid w:val="00B27402"/>
    <w:rsid w:val="00B340CA"/>
    <w:rsid w:val="00B369B4"/>
    <w:rsid w:val="00B412F9"/>
    <w:rsid w:val="00B60FBA"/>
    <w:rsid w:val="00B86E1B"/>
    <w:rsid w:val="00BA7A97"/>
    <w:rsid w:val="00BC2DA0"/>
    <w:rsid w:val="00BC5E9E"/>
    <w:rsid w:val="00BF2F40"/>
    <w:rsid w:val="00C22AB0"/>
    <w:rsid w:val="00C2563E"/>
    <w:rsid w:val="00C30E31"/>
    <w:rsid w:val="00C51ECD"/>
    <w:rsid w:val="00C6684A"/>
    <w:rsid w:val="00C72FEB"/>
    <w:rsid w:val="00C80D64"/>
    <w:rsid w:val="00C8157B"/>
    <w:rsid w:val="00C87F8B"/>
    <w:rsid w:val="00C94D67"/>
    <w:rsid w:val="00CB0C15"/>
    <w:rsid w:val="00CC1474"/>
    <w:rsid w:val="00CE72FC"/>
    <w:rsid w:val="00D01079"/>
    <w:rsid w:val="00D311FD"/>
    <w:rsid w:val="00D32A24"/>
    <w:rsid w:val="00D36E23"/>
    <w:rsid w:val="00D43ABB"/>
    <w:rsid w:val="00D466E4"/>
    <w:rsid w:val="00D64DFA"/>
    <w:rsid w:val="00D75851"/>
    <w:rsid w:val="00D76A48"/>
    <w:rsid w:val="00D8588E"/>
    <w:rsid w:val="00D86F3A"/>
    <w:rsid w:val="00DB0457"/>
    <w:rsid w:val="00DB1F52"/>
    <w:rsid w:val="00DD414F"/>
    <w:rsid w:val="00DD7F4F"/>
    <w:rsid w:val="00DE0B98"/>
    <w:rsid w:val="00DF3ACD"/>
    <w:rsid w:val="00E10A15"/>
    <w:rsid w:val="00E166C5"/>
    <w:rsid w:val="00E25BE4"/>
    <w:rsid w:val="00EB0F23"/>
    <w:rsid w:val="00EC0D78"/>
    <w:rsid w:val="00EC7F63"/>
    <w:rsid w:val="00ED014A"/>
    <w:rsid w:val="00ED7C2A"/>
    <w:rsid w:val="00F11D9D"/>
    <w:rsid w:val="00F15AFA"/>
    <w:rsid w:val="00F2535D"/>
    <w:rsid w:val="00F3500E"/>
    <w:rsid w:val="00F361A9"/>
    <w:rsid w:val="00F57199"/>
    <w:rsid w:val="00F77BF4"/>
    <w:rsid w:val="00F87F0A"/>
    <w:rsid w:val="00F944D6"/>
    <w:rsid w:val="00FB72AD"/>
    <w:rsid w:val="00FB73ED"/>
    <w:rsid w:val="00FC3EDC"/>
    <w:rsid w:val="00FF0820"/>
    <w:rsid w:val="00FF1035"/>
    <w:rsid w:val="00FF3BD5"/>
  </w:rsids>
  <m:mathPr>
    <m:mathFont m:val="ＭＳ Ｐゴシック"/>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7F63"/>
  </w:style>
  <w:style w:type="paragraph" w:styleId="Heading1">
    <w:name w:val="heading 1"/>
    <w:basedOn w:val="Normal"/>
    <w:link w:val="Heading1Char"/>
    <w:qFormat/>
    <w:rsid w:val="00EC7F63"/>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C7F63"/>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C7F63"/>
    <w:rPr>
      <w:rFonts w:ascii="Times" w:hAnsi="Times"/>
      <w:b/>
      <w:kern w:val="36"/>
      <w:sz w:val="48"/>
      <w:szCs w:val="20"/>
    </w:rPr>
  </w:style>
  <w:style w:type="character" w:customStyle="1" w:styleId="Heading2Char">
    <w:name w:val="Heading 2 Char"/>
    <w:basedOn w:val="DefaultParagraphFont"/>
    <w:link w:val="Heading2"/>
    <w:uiPriority w:val="9"/>
    <w:rsid w:val="00EC7F63"/>
    <w:rPr>
      <w:rFonts w:ascii="Times" w:hAnsi="Times"/>
      <w:b/>
      <w:sz w:val="36"/>
      <w:szCs w:val="20"/>
    </w:rPr>
  </w:style>
  <w:style w:type="paragraph" w:customStyle="1" w:styleId="Default">
    <w:name w:val="Default"/>
    <w:rsid w:val="00EC7F63"/>
    <w:pPr>
      <w:spacing w:line="240" w:lineRule="atLeast"/>
    </w:pPr>
    <w:rPr>
      <w:rFonts w:ascii="Helvetica" w:eastAsia="Times New Roman" w:hAnsi="Helvetica" w:cs="Times New Roman"/>
      <w:color w:val="000000"/>
      <w:szCs w:val="20"/>
    </w:rPr>
  </w:style>
  <w:style w:type="character" w:customStyle="1" w:styleId="maintitle">
    <w:name w:val="maintitle"/>
    <w:basedOn w:val="DefaultParagraphFont"/>
    <w:rsid w:val="00EC7F63"/>
  </w:style>
  <w:style w:type="paragraph" w:styleId="NormalWeb">
    <w:name w:val="Normal (Web)"/>
    <w:basedOn w:val="Normal"/>
    <w:uiPriority w:val="99"/>
    <w:rsid w:val="00EC7F63"/>
    <w:pPr>
      <w:spacing w:beforeLines="1" w:afterLines="1"/>
    </w:pPr>
    <w:rPr>
      <w:rFonts w:ascii="Times" w:hAnsi="Times" w:cs="Times New Roman"/>
      <w:sz w:val="20"/>
      <w:szCs w:val="20"/>
    </w:rPr>
  </w:style>
  <w:style w:type="paragraph" w:customStyle="1" w:styleId="copyright">
    <w:name w:val="copyright"/>
    <w:basedOn w:val="Normal"/>
    <w:rsid w:val="00EC7F63"/>
    <w:pPr>
      <w:spacing w:beforeLines="1" w:afterLines="1"/>
    </w:pPr>
    <w:rPr>
      <w:rFonts w:ascii="Times" w:hAnsi="Times"/>
      <w:sz w:val="20"/>
      <w:szCs w:val="20"/>
    </w:rPr>
  </w:style>
  <w:style w:type="paragraph" w:customStyle="1" w:styleId="articlecategory">
    <w:name w:val="articlecategory"/>
    <w:basedOn w:val="Normal"/>
    <w:rsid w:val="00EC7F63"/>
    <w:pPr>
      <w:spacing w:beforeLines="1" w:afterLines="1"/>
    </w:pPr>
    <w:rPr>
      <w:rFonts w:ascii="Times" w:hAnsi="Times"/>
      <w:sz w:val="20"/>
      <w:szCs w:val="20"/>
    </w:rPr>
  </w:style>
  <w:style w:type="paragraph" w:customStyle="1" w:styleId="articledetails">
    <w:name w:val="articledetails"/>
    <w:basedOn w:val="Normal"/>
    <w:rsid w:val="00EC7F63"/>
    <w:pPr>
      <w:spacing w:beforeLines="1" w:afterLines="1"/>
    </w:pPr>
    <w:rPr>
      <w:rFonts w:ascii="Times" w:hAnsi="Times"/>
      <w:sz w:val="20"/>
      <w:szCs w:val="20"/>
    </w:rPr>
  </w:style>
  <w:style w:type="character" w:styleId="Hyperlink">
    <w:name w:val="Hyperlink"/>
    <w:basedOn w:val="DefaultParagraphFont"/>
    <w:rsid w:val="00EC7F63"/>
    <w:rPr>
      <w:color w:val="0000FF"/>
      <w:u w:val="single"/>
    </w:rPr>
  </w:style>
  <w:style w:type="paragraph" w:styleId="ListParagraph">
    <w:name w:val="List Paragraph"/>
    <w:basedOn w:val="Normal"/>
    <w:uiPriority w:val="34"/>
    <w:qFormat/>
    <w:rsid w:val="00EC7F63"/>
    <w:pPr>
      <w:spacing w:after="200" w:line="276" w:lineRule="auto"/>
      <w:ind w:left="720"/>
      <w:contextualSpacing/>
    </w:pPr>
    <w:rPr>
      <w:sz w:val="22"/>
      <w:szCs w:val="22"/>
      <w:lang w:val="pt-PT"/>
    </w:rPr>
  </w:style>
  <w:style w:type="table" w:styleId="TableGrid">
    <w:name w:val="Table Grid"/>
    <w:basedOn w:val="TableNormal"/>
    <w:uiPriority w:val="59"/>
    <w:rsid w:val="00EC7F63"/>
    <w:rPr>
      <w:sz w:val="22"/>
      <w:szCs w:val="22"/>
      <w:lang w:val="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7F63"/>
    <w:pPr>
      <w:tabs>
        <w:tab w:val="center" w:pos="4320"/>
        <w:tab w:val="right" w:pos="8640"/>
      </w:tabs>
    </w:pPr>
  </w:style>
  <w:style w:type="character" w:customStyle="1" w:styleId="HeaderChar">
    <w:name w:val="Header Char"/>
    <w:basedOn w:val="DefaultParagraphFont"/>
    <w:link w:val="Header"/>
    <w:uiPriority w:val="99"/>
    <w:semiHidden/>
    <w:rsid w:val="00EC7F63"/>
  </w:style>
  <w:style w:type="paragraph" w:styleId="Footer">
    <w:name w:val="footer"/>
    <w:basedOn w:val="Normal"/>
    <w:link w:val="FooterChar"/>
    <w:uiPriority w:val="99"/>
    <w:semiHidden/>
    <w:unhideWhenUsed/>
    <w:rsid w:val="00EC7F63"/>
    <w:pPr>
      <w:tabs>
        <w:tab w:val="center" w:pos="4320"/>
        <w:tab w:val="right" w:pos="8640"/>
      </w:tabs>
    </w:pPr>
  </w:style>
  <w:style w:type="character" w:customStyle="1" w:styleId="FooterChar">
    <w:name w:val="Footer Char"/>
    <w:basedOn w:val="DefaultParagraphFont"/>
    <w:link w:val="Footer"/>
    <w:uiPriority w:val="99"/>
    <w:semiHidden/>
    <w:rsid w:val="00EC7F63"/>
  </w:style>
  <w:style w:type="paragraph" w:styleId="BalloonText">
    <w:name w:val="Balloon Text"/>
    <w:basedOn w:val="Normal"/>
    <w:link w:val="BalloonTextChar"/>
    <w:uiPriority w:val="99"/>
    <w:semiHidden/>
    <w:unhideWhenUsed/>
    <w:rsid w:val="00EC7F63"/>
    <w:rPr>
      <w:rFonts w:ascii="Lucida Grande" w:hAnsi="Lucida Grande"/>
      <w:sz w:val="18"/>
      <w:szCs w:val="18"/>
    </w:rPr>
  </w:style>
  <w:style w:type="character" w:customStyle="1" w:styleId="BalloonTextChar">
    <w:name w:val="Balloon Text Char"/>
    <w:basedOn w:val="DefaultParagraphFont"/>
    <w:link w:val="BalloonText"/>
    <w:uiPriority w:val="99"/>
    <w:semiHidden/>
    <w:rsid w:val="00EC7F63"/>
    <w:rPr>
      <w:rFonts w:ascii="Lucida Grande" w:hAnsi="Lucida Grande"/>
      <w:sz w:val="18"/>
      <w:szCs w:val="18"/>
    </w:rPr>
  </w:style>
  <w:style w:type="paragraph" w:styleId="FootnoteText">
    <w:name w:val="footnote text"/>
    <w:basedOn w:val="Normal"/>
    <w:link w:val="FootnoteTextChar"/>
    <w:rsid w:val="001642FA"/>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rsid w:val="001642FA"/>
    <w:rPr>
      <w:rFonts w:ascii="Times New Roman" w:eastAsia="Times New Roman" w:hAnsi="Times New Roman" w:cs="Times New Roman"/>
      <w:sz w:val="20"/>
      <w:szCs w:val="20"/>
      <w:lang w:val="en-GB"/>
    </w:rPr>
  </w:style>
  <w:style w:type="character" w:styleId="FootnoteReference">
    <w:name w:val="footnote reference"/>
    <w:basedOn w:val="DefaultParagraphFont"/>
    <w:rsid w:val="001642FA"/>
    <w:rPr>
      <w:vertAlign w:val="superscript"/>
    </w:rPr>
  </w:style>
  <w:style w:type="character" w:styleId="CommentReference">
    <w:name w:val="annotation reference"/>
    <w:basedOn w:val="DefaultParagraphFont"/>
    <w:rsid w:val="00E25BE4"/>
    <w:rPr>
      <w:sz w:val="18"/>
      <w:szCs w:val="18"/>
    </w:rPr>
  </w:style>
  <w:style w:type="paragraph" w:styleId="CommentText">
    <w:name w:val="annotation text"/>
    <w:basedOn w:val="Normal"/>
    <w:link w:val="CommentTextChar"/>
    <w:rsid w:val="00E25BE4"/>
  </w:style>
  <w:style w:type="character" w:customStyle="1" w:styleId="CommentTextChar">
    <w:name w:val="Comment Text Char"/>
    <w:basedOn w:val="DefaultParagraphFont"/>
    <w:link w:val="CommentText"/>
    <w:rsid w:val="00E25BE4"/>
  </w:style>
  <w:style w:type="paragraph" w:styleId="CommentSubject">
    <w:name w:val="annotation subject"/>
    <w:basedOn w:val="CommentText"/>
    <w:next w:val="CommentText"/>
    <w:link w:val="CommentSubjectChar"/>
    <w:rsid w:val="00E25BE4"/>
    <w:rPr>
      <w:b/>
      <w:bCs/>
      <w:sz w:val="20"/>
      <w:szCs w:val="20"/>
    </w:rPr>
  </w:style>
  <w:style w:type="character" w:customStyle="1" w:styleId="CommentSubjectChar">
    <w:name w:val="Comment Subject Char"/>
    <w:basedOn w:val="CommentTextChar"/>
    <w:link w:val="CommentSubject"/>
    <w:rsid w:val="00E25B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chart" Target="charts/chart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arah.berenson@gmail.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clustered"/>
        <c:ser>
          <c:idx val="0"/>
          <c:order val="0"/>
          <c:tx>
            <c:strRef>
              <c:f>Sheet1!$B$1</c:f>
              <c:strCache>
                <c:ptCount val="1"/>
                <c:pt idx="0">
                  <c:v>Series 1</c:v>
                </c:pt>
              </c:strCache>
            </c:strRef>
          </c:tx>
          <c:cat>
            <c:strRef>
              <c:f>Sheet1!$A$2:$A$3</c:f>
              <c:strCache>
                <c:ptCount val="2"/>
                <c:pt idx="0">
                  <c:v>Boys</c:v>
                </c:pt>
                <c:pt idx="1">
                  <c:v>Girls</c:v>
                </c:pt>
              </c:strCache>
            </c:strRef>
          </c:cat>
          <c:val>
            <c:numRef>
              <c:f>Sheet1!$B$2:$B$3</c:f>
              <c:numCache>
                <c:formatCode>General</c:formatCode>
                <c:ptCount val="2"/>
                <c:pt idx="0">
                  <c:v>1.0</c:v>
                </c:pt>
                <c:pt idx="1">
                  <c:v>2.0</c:v>
                </c:pt>
              </c:numCache>
            </c:numRef>
          </c:val>
        </c:ser>
        <c:axId val="685062616"/>
        <c:axId val="684813144"/>
      </c:barChart>
      <c:catAx>
        <c:axId val="685062616"/>
        <c:scaling>
          <c:orientation val="minMax"/>
        </c:scaling>
        <c:axPos val="b"/>
        <c:tickLblPos val="nextTo"/>
        <c:txPr>
          <a:bodyPr/>
          <a:lstStyle/>
          <a:p>
            <a:pPr>
              <a:defRPr lang="pt-PT"/>
            </a:pPr>
            <a:endParaRPr lang="en-US"/>
          </a:p>
        </c:txPr>
        <c:crossAx val="684813144"/>
        <c:crosses val="autoZero"/>
        <c:auto val="1"/>
        <c:lblAlgn val="ctr"/>
        <c:lblOffset val="100"/>
      </c:catAx>
      <c:valAx>
        <c:axId val="684813144"/>
        <c:scaling>
          <c:orientation val="minMax"/>
        </c:scaling>
        <c:axPos val="l"/>
        <c:majorGridlines/>
        <c:numFmt formatCode="General" sourceLinked="1"/>
        <c:tickLblPos val="nextTo"/>
        <c:txPr>
          <a:bodyPr/>
          <a:lstStyle/>
          <a:p>
            <a:pPr>
              <a:defRPr lang="pt-PT"/>
            </a:pPr>
            <a:endParaRPr lang="en-US"/>
          </a:p>
        </c:txPr>
        <c:crossAx val="685062616"/>
        <c:crosses val="autoZero"/>
        <c:crossBetween val="between"/>
      </c:valAx>
    </c:plotArea>
    <c:plotVisOnly val="1"/>
    <c:dispBlanksAs val="gap"/>
  </c:chart>
  <c:txPr>
    <a:bodyPr/>
    <a:lstStyle/>
    <a:p>
      <a:pPr>
        <a:defRPr sz="18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4564</Words>
  <Characters>26020</Characters>
  <Application>Microsoft Macintosh Word</Application>
  <DocSecurity>0</DocSecurity>
  <Lines>216</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Trinity College Dublin</Company>
  <LinksUpToDate>false</LinksUpToDate>
  <CharactersWithSpaces>31954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Oldham</dc:creator>
  <cp:keywords/>
  <cp:lastModifiedBy>Elizabeth Oldham</cp:lastModifiedBy>
  <cp:revision>12</cp:revision>
  <cp:lastPrinted>2012-10-29T13:59:00Z</cp:lastPrinted>
  <dcterms:created xsi:type="dcterms:W3CDTF">2013-08-15T06:54:00Z</dcterms:created>
  <dcterms:modified xsi:type="dcterms:W3CDTF">2013-08-15T07:20:00Z</dcterms:modified>
</cp:coreProperties>
</file>